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Seasonal Methane Isotope Phasors Constrain the Methane OH 13C Kinetic Isotope Effect</w:t>
      </w:r>
    </w:p>
    <w:p>
      <w:pPr>
        <w:pStyle w:val="Heading2"/>
      </w:pPr>
      <w:r>
        <w:t>Draft Status</w:t>
      </w:r>
    </w:p>
    <w:p>
      <w:r>
        <w:t>First manuscript draft for the KIE sites experiment. This file is written as a main-text manuscript draft. Remaining submission-stage tasks are limited to final figure generation, journal-specific bibliography formatting, and assigning a permanent archive DOI for the analysis code and derived tables.</w:t>
      </w:r>
    </w:p>
    <w:p>
      <w:pPr>
        <w:pStyle w:val="Heading2"/>
      </w:pPr>
      <w:r>
        <w:t>Abstract</w:t>
      </w:r>
    </w:p>
    <w:p>
      <w:r>
        <w:t xml:space="preserve">The carbon and hydrogen isotopic composition of atmospheric methane is widely used to separate source and sink contributions to methane variability, but isotope-budget interpretations remain sensitive to the kinetic isotope effect for methane oxidation by hydroxyl radicals. Laboratory estimates of the OH 13C kinetic isotope effect differ between Cantrell et al. (1990) and Saueressig et al. (2001), motivating an independent atmospheric constraint. Because the OH-D kinetic isotope effect is large and comparatively consistent across laboratory studies, it can be used with the seasonal </w:t>
      </w:r>
      <w:r>
        <w:rPr>
          <w:rFonts w:ascii="Consolas" w:hAnsi="Consolas"/>
        </w:rPr>
        <w:t>A(delta13C) / A(deltaD)</w:t>
      </w:r>
      <w:r>
        <w:t xml:space="preserve"> ratio as a hydrogen-referenced constraint on </w:t>
      </w:r>
      <w:r>
        <w:rPr>
          <w:rFonts w:ascii="Consolas" w:hAnsi="Consolas"/>
        </w:rPr>
        <w:t>alpha13C_OH</w:t>
      </w:r>
      <w:r>
        <w:t xml:space="preserve">. We test this idea using co-located seasonal cycles of atmospheric </w:t>
      </w:r>
      <w:r>
        <w:rPr>
          <w:rFonts w:ascii="Consolas" w:hAnsi="Consolas"/>
        </w:rPr>
        <w:t>delta13C-CH4</w:t>
      </w:r>
      <w:r>
        <w:t xml:space="preserve"> and </w:t>
      </w:r>
      <w:r>
        <w:rPr>
          <w:rFonts w:ascii="Consolas" w:hAnsi="Consolas"/>
        </w:rPr>
        <w:t>deltaD-CH4</w:t>
      </w:r>
      <w:r>
        <w:t xml:space="preserve">. We use NOAA/GML and INSTAAR surface-flask </w:t>
      </w:r>
      <w:r>
        <w:rPr>
          <w:rFonts w:ascii="Consolas" w:hAnsi="Consolas"/>
        </w:rPr>
        <w:t>CH4</w:t>
      </w:r>
      <w:r>
        <w:t xml:space="preserve"> and </w:t>
      </w:r>
      <w:r>
        <w:rPr>
          <w:rFonts w:ascii="Consolas" w:hAnsi="Consolas"/>
        </w:rPr>
        <w:t>delta13C-CH4</w:t>
      </w:r>
      <w:r>
        <w:t xml:space="preserve"> data together with the harmonized multi-laboratory </w:t>
      </w:r>
      <w:r>
        <w:rPr>
          <w:rFonts w:ascii="Consolas" w:hAnsi="Consolas"/>
        </w:rPr>
        <w:t>deltaD-CH4</w:t>
      </w:r>
      <w:r>
        <w:t xml:space="preserve"> compilation analyzed by Riddell-Young et al. (2025). Annual isotope harmonics are represented as complex phasors, allowing wetland source seasonality to be subtracted as a vector rather than as a scalar amplitude. Wetland source phasors are constructed from monthly gridded natural wetland methane emissions from Li et al. (2026) and wetland isotope source signatures constrained by Ganesan et al. (2018), Douglas et al. (2021), and Riddell-Young et al. (2025). Raw amplitude ratios, </w:t>
      </w:r>
      <w:r>
        <w:rPr>
          <w:rFonts w:ascii="Consolas" w:hAnsi="Consolas"/>
        </w:rPr>
        <w:t>A(delta13C) / A(deltaD)</w:t>
      </w:r>
      <w:r>
        <w:t xml:space="preserve">, exceed pure-sink expectations at Northern Hemisphere sites, demonstrating strong source-seasonality contamination. After wetland phasor correction, the cleanest Southern Hemisphere constraint from Cape Grim and South Pole gives </w:t>
      </w:r>
      <w:r>
        <w:rPr>
          <w:rFonts w:ascii="Consolas" w:hAnsi="Consolas"/>
        </w:rPr>
        <w:t>alpha13C_OH = 1.0046</w:t>
      </w:r>
      <w:r>
        <w:t xml:space="preserve"> with a 95% interval of </w:t>
      </w:r>
      <w:r>
        <w:rPr>
          <w:rFonts w:ascii="Consolas" w:hAnsi="Consolas"/>
        </w:rPr>
        <w:t>0.9969-1.0158</w:t>
      </w:r>
      <w:r>
        <w:t>, consistent with both laboratory determinations. Northern Hemisphere sites remain biased high after wetland-only correction, indicating residual source structure not captured by the present wetland phasors. Seasonal methane isotope phasors therefore provide an atmospheric OH KIE constraint, but their extension to northern sites requires explicit treatment of seasonal source phasors, transport, and non-wetland emissions.</w:t>
      </w:r>
    </w:p>
    <w:p>
      <w:pPr>
        <w:pStyle w:val="Heading2"/>
      </w:pPr>
      <w:r>
        <w:t>1. Introduction</w:t>
      </w:r>
    </w:p>
    <w:p>
      <w:r>
        <w:t>Atmospheric methane (</w:t>
      </w:r>
      <w:r>
        <w:rPr>
          <w:rFonts w:ascii="Consolas" w:hAnsi="Consolas"/>
        </w:rPr>
        <w:t>CH4</w:t>
      </w:r>
      <w:r>
        <w:t xml:space="preserve">) has risen rapidly since 2007, with particularly large growth during and after 2020, but the relative contributions of microbial sources, fossil fuel sources, biomass burning, and changes in atmospheric oxidation remain debated (Saunois et al., 2020, 2025; Nisbet et al., 2016, 2019, 2020; Lan et al., 2021; Basu et al., 2022; Riddell-Young et al., 2025). Measurements of </w:t>
      </w:r>
      <w:r>
        <w:rPr>
          <w:rFonts w:ascii="Consolas" w:hAnsi="Consolas"/>
        </w:rPr>
        <w:t>delta13C-CH4</w:t>
      </w:r>
      <w:r>
        <w:t xml:space="preserve"> and </w:t>
      </w:r>
      <w:r>
        <w:rPr>
          <w:rFonts w:ascii="Consolas" w:hAnsi="Consolas"/>
        </w:rPr>
        <w:t>deltaD-CH4</w:t>
      </w:r>
      <w:r>
        <w:t xml:space="preserve"> provide independent information because microbial, fossil, pyrogenic, and sink processes occupy different regions of isotope space (Whiticar et al., 1986; Whiticar, 1999; Sherwood et al., 2017; Douglas et al., 2021; Riddell-Young et al., 2025). These isotope constraints are only as robust as the source signatures, sink fractionation factors, and atmospheric transport assumptions used to interpret them.</w:t>
      </w:r>
    </w:p>
    <w:p>
      <w:r>
        <w:t xml:space="preserve">The hydroxyl radical (OH) is the dominant atmospheric methane sink, and its kinetic isotope effects influence both the global isotope budget and seasonal cycles. The laboratory 13C kinetic isotope effect for </w:t>
      </w:r>
      <w:r>
        <w:rPr>
          <w:rFonts w:ascii="Consolas" w:hAnsi="Consolas"/>
        </w:rPr>
        <w:t>CH4 + OH</w:t>
      </w:r>
      <w:r>
        <w:t xml:space="preserve"> differs between the flow-tube measurements of Cantrell et al. (1990) and the smog- chamber measurements of Saueressig et al. (2001). The two values, </w:t>
      </w:r>
      <w:r>
        <w:rPr>
          <w:rFonts w:ascii="Consolas" w:hAnsi="Consolas"/>
        </w:rPr>
        <w:t>alpha13C_OH = 1.0054</w:t>
      </w:r>
      <w:r>
        <w:t xml:space="preserve"> and </w:t>
      </w:r>
      <w:r>
        <w:rPr>
          <w:rFonts w:ascii="Consolas" w:hAnsi="Consolas"/>
        </w:rPr>
        <w:t>1.0039</w:t>
      </w:r>
      <w:r>
        <w:t>, respectively, are close in absolute terms but consequential for isotope-enabled source attribution (Basu et al., 2022; Riddell-Young et al., 2025). Atmospheric observations offer a possible independent test because OH has a strong annual cycle, peaking in local summer, and methane destruction by OH enriches the residual atmospheric methane in both 13C and D.</w:t>
      </w:r>
    </w:p>
    <w:p>
      <w:r>
        <w:t>Hydrogen isotope fractionation provides a useful anchor for this test. The OH-D kinetic isotope effect is large (</w:t>
      </w:r>
      <w:r>
        <w:rPr>
          <w:rFonts w:ascii="Consolas" w:hAnsi="Consolas"/>
        </w:rPr>
        <w:t>alphaD_OH = 1.294</w:t>
      </w:r>
      <w:r>
        <w:t>) and, relative to its fractionation strength, is better constrained across laboratory studies than the disputed OH-13C KIE (Saueressig et al., 2001; Joelsson et al., 2016; Whitehill et al., 2017). We therefore use the observed seasonal ratio between co-located carbon and hydrogen isotope amplitudes to ask which carbon KIE is most consistent with the hydrogen-referenced sink phasor.</w:t>
      </w:r>
    </w:p>
    <w:p>
      <w:r>
        <w:t>In a sink-dominated seasonal cycle, the amplitude ratio</w:t>
      </w:r>
    </w:p>
    <w:p>
      <w:r>
        <w:rPr>
          <w:rFonts w:ascii="Consolas" w:hAnsi="Consolas"/>
          <w:sz w:val="18"/>
        </w:rPr>
        <w:t>R = A(delta13C-CH4) / A(deltaD-CH4)</w:t>
      </w:r>
    </w:p>
    <w:p>
      <w:r>
        <w:t xml:space="preserve">would be controlled by the relative isotope fractionation of the methane sink. Using this hydrogen KIE, the expected OH-only ratio is approximately </w:t>
      </w:r>
      <w:r>
        <w:rPr>
          <w:rFonts w:ascii="Consolas" w:hAnsi="Consolas"/>
        </w:rPr>
        <w:t>0.013</w:t>
      </w:r>
      <w:r>
        <w:t xml:space="preserve"> for the Saueressig 13C KIE and </w:t>
      </w:r>
      <w:r>
        <w:rPr>
          <w:rFonts w:ascii="Consolas" w:hAnsi="Consolas"/>
        </w:rPr>
        <w:t>0.018</w:t>
      </w:r>
      <w:r>
        <w:t xml:space="preserve"> for the Cantrell 13C KIE. The corresponding bulk-sink reference range after including the Cl, soil, and stratospheric sink terms in Table 2 is approximately </w:t>
      </w:r>
      <w:r>
        <w:rPr>
          <w:rFonts w:ascii="Consolas" w:hAnsi="Consolas"/>
        </w:rPr>
        <w:t>0.028-0.032</w:t>
      </w:r>
      <w:r>
        <w:t>, and this bulk-sink range is the reference used in the site-ratio figures and alpha inversion. The seasonal ratio is attractive because it depends on the shared timing of the sink, uses the better constrained hydrogen KIE as a reference, and is less directly sensitive to the long-term source-budget assumptions required by annual mass-balance analyses.</w:t>
      </w:r>
    </w:p>
    <w:p>
      <w:r>
        <w:t xml:space="preserve">However, the atmosphere is not sink dominated at all sites. Wetlands and other microbial sources emit isotopically depleted methane with strong seasonal cycles (Ganesan et al., 2018; Douglas et al., 2021; Li et al., 2026). A seasonal source pulse therefore adds a source phasor to the observed isotope cycle. The effect is asymmetric between carbon and hydrogen isotopes: the wetland </w:t>
      </w:r>
      <w:r>
        <w:rPr>
          <w:rFonts w:ascii="Consolas" w:hAnsi="Consolas"/>
        </w:rPr>
        <w:t>delta13C-CH4</w:t>
      </w:r>
      <w:r>
        <w:t xml:space="preserve"> source signature lies only about </w:t>
      </w:r>
      <w:r>
        <w:rPr>
          <w:rFonts w:ascii="Consolas" w:hAnsi="Consolas"/>
        </w:rPr>
        <w:t>15 permil</w:t>
      </w:r>
      <w:r>
        <w:t xml:space="preserve"> below the atmospheric value used here, whereas wetland </w:t>
      </w:r>
      <w:r>
        <w:rPr>
          <w:rFonts w:ascii="Consolas" w:hAnsi="Consolas"/>
        </w:rPr>
        <w:t>deltaD-CH4</w:t>
      </w:r>
      <w:r>
        <w:t xml:space="preserve"> is more than </w:t>
      </w:r>
      <w:r>
        <w:rPr>
          <w:rFonts w:ascii="Consolas" w:hAnsi="Consolas"/>
        </w:rPr>
        <w:t>200 permil</w:t>
      </w:r>
      <w:r>
        <w:t xml:space="preserve"> below atmospheric </w:t>
      </w:r>
      <w:r>
        <w:rPr>
          <w:rFonts w:ascii="Consolas" w:hAnsi="Consolas"/>
        </w:rPr>
        <w:t>deltaD-CH4</w:t>
      </w:r>
      <w:r>
        <w:t xml:space="preserve">. A given fractional source pulse can therefore inflate </w:t>
      </w:r>
      <w:r>
        <w:rPr>
          <w:rFonts w:ascii="Consolas" w:hAnsi="Consolas"/>
        </w:rPr>
        <w:t>delta13C</w:t>
      </w:r>
      <w:r>
        <w:t xml:space="preserve"> seasonal amplitudes differently from </w:t>
      </w:r>
      <w:r>
        <w:rPr>
          <w:rFonts w:ascii="Consolas" w:hAnsi="Consolas"/>
        </w:rPr>
        <w:t>deltaD</w:t>
      </w:r>
      <w:r>
        <w:t xml:space="preserve"> amplitudes, making the raw amplitude ratio an unreliable KIE diagnostic at source-influenced sites.</w:t>
      </w:r>
    </w:p>
    <w:p>
      <w:r>
        <w:t xml:space="preserve">Here we develop and apply a phasor method for interpreting co-located seasonal cycles of </w:t>
      </w:r>
      <w:r>
        <w:rPr>
          <w:rFonts w:ascii="Consolas" w:hAnsi="Consolas"/>
        </w:rPr>
        <w:t>CH4</w:t>
      </w:r>
      <w:r>
        <w:t xml:space="preserve">, </w:t>
      </w:r>
      <w:r>
        <w:rPr>
          <w:rFonts w:ascii="Consolas" w:hAnsi="Consolas"/>
        </w:rPr>
        <w:t>delta13C-CH4</w:t>
      </w:r>
      <w:r>
        <w:t xml:space="preserve">, and </w:t>
      </w:r>
      <w:r>
        <w:rPr>
          <w:rFonts w:ascii="Consolas" w:hAnsi="Consolas"/>
        </w:rPr>
        <w:t>deltaD-CH4</w:t>
      </w:r>
      <w:r>
        <w:t xml:space="preserve"> at globally distributed monitoring sites. We fit annual harmonics to paired monthly isotope data, construct wetland source phasors from gridded wetland emissions and isotope source signatures, subtract those source phasors as vectors, and infer the OH 13C KIE from the corrected sink phasors. We focus the main result on Southern Hemisphere background sites, where local wetland source seasonality is small, and use Northern Hemisphere sites mainly as diagnostics of residual source-seasonality structure.</w:t>
      </w:r>
    </w:p>
    <w:p>
      <w:pPr>
        <w:pStyle w:val="Heading2"/>
      </w:pPr>
      <w:r>
        <w:t>2. Data</w:t>
      </w:r>
    </w:p>
    <w:p>
      <w:pPr>
        <w:pStyle w:val="Heading3"/>
      </w:pPr>
      <w:r>
        <w:t>2.1 Atmospheric methane and isotope observations</w:t>
      </w:r>
    </w:p>
    <w:p>
      <w:r>
        <w:t xml:space="preserve">Atmospheric methane dry-air mole fractions were taken from the NOAA Global Monitoring Laboratory Global Greenhouse Gas Reference Network surface-flask data product, version 2025-08-15 (Lan et al., 2025; DOI </w:t>
      </w:r>
      <w:r>
        <w:rPr>
          <w:rFonts w:ascii="Consolas" w:hAnsi="Consolas"/>
        </w:rPr>
        <w:t>10.15138/VNCZ-M766</w:t>
      </w:r>
      <w:r>
        <w:t xml:space="preserve">). Atmospheric </w:t>
      </w:r>
      <w:r>
        <w:rPr>
          <w:rFonts w:ascii="Consolas" w:hAnsi="Consolas"/>
        </w:rPr>
        <w:t>delta13C-CH4</w:t>
      </w:r>
      <w:r>
        <w:t xml:space="preserve"> measurements were taken from the NOAA/INSTAAR stable carbon isotope data product, version 2023-09-21 (Michel et al., 2023; DOI </w:t>
      </w:r>
      <w:r>
        <w:rPr>
          <w:rFonts w:ascii="Consolas" w:hAnsi="Consolas"/>
        </w:rPr>
        <w:t>10.15138/9p89-1x02</w:t>
      </w:r>
      <w:r>
        <w:t xml:space="preserve">). Atmospheric </w:t>
      </w:r>
      <w:r>
        <w:rPr>
          <w:rFonts w:ascii="Consolas" w:hAnsi="Consolas"/>
        </w:rPr>
        <w:t>deltaD-CH4</w:t>
      </w:r>
      <w:r>
        <w:t xml:space="preserve"> measurements were taken from the multi-laboratory compilation analyzed by Riddell-Young et al. (2025), available through the NOAA GML archive (DOI </w:t>
      </w:r>
      <w:r>
        <w:rPr>
          <w:rFonts w:ascii="Consolas" w:hAnsi="Consolas"/>
        </w:rPr>
        <w:t>10.15138/setb-jy31</w:t>
      </w:r>
      <w:r>
        <w:t>) and harmonized using laboratory-offset information from Umezawa et al. (2018), Riddell-Young et al. (2025), and Dasgupta et al. (2025).</w:t>
      </w:r>
    </w:p>
    <w:p>
      <w:r>
        <w:t xml:space="preserve">We identified 12 sites with co-located </w:t>
      </w:r>
      <w:r>
        <w:rPr>
          <w:rFonts w:ascii="Consolas" w:hAnsi="Consolas"/>
        </w:rPr>
        <w:t>delta13C-CH4</w:t>
      </w:r>
      <w:r>
        <w:t xml:space="preserve"> and </w:t>
      </w:r>
      <w:r>
        <w:rPr>
          <w:rFonts w:ascii="Consolas" w:hAnsi="Consolas"/>
        </w:rPr>
        <w:t>deltaD-CH4</w:t>
      </w:r>
      <w:r>
        <w:t xml:space="preserve"> data: Alert, Ny-Alesund/Zeppelin, Barrow, Cold Bay, Mace Head, Azores, Mauna Loa, Cape Kumukahi, Ascension Island, Tutuila/American Samoa, Cape Grim, and South Pole. The limiting overlap for same-site paired isotope analysis is mainly the 2005-2010 interval. The number of paired monthly means ranges from 14 at Cold Bay to 52 at Alert. Eight sites are retained as the primary clean set for KIE analysis: Alert, Zeppelin, Barrow, Cold Bay, Mace Head, Cape Kumukahi, Cape Grim, and South Pole. The remaining sites are treated as diagnostic or excluded sites because of data coverage, marine-boundary-layer representativeness, or phase behavior.</w:t>
      </w:r>
    </w:p>
    <w:p>
      <w:r>
        <w:t xml:space="preserve">We define "clean" operationally rather than absolutely. A site is included in the clean set only if it satisfies all three pre-inversion screening criteria: it is treated as a marine-boundary-layer/background site, the raw annual </w:t>
      </w:r>
      <w:r>
        <w:rPr>
          <w:rFonts w:ascii="Consolas" w:hAnsi="Consolas"/>
        </w:rPr>
        <w:t>delta13C-CH4</w:t>
      </w:r>
      <w:r>
        <w:t xml:space="preserve"> and </w:t>
      </w:r>
      <w:r>
        <w:rPr>
          <w:rFonts w:ascii="Consolas" w:hAnsi="Consolas"/>
        </w:rPr>
        <w:t>deltaD-CH4</w:t>
      </w:r>
      <w:r>
        <w:t xml:space="preserve"> peak months agree within 2 months, and the fitted </w:t>
      </w:r>
      <w:r>
        <w:rPr>
          <w:rFonts w:ascii="Consolas" w:hAnsi="Consolas"/>
        </w:rPr>
        <w:t>delta13C-CH4</w:t>
      </w:r>
      <w:r>
        <w:t xml:space="preserve"> annual amplitude is at least </w:t>
      </w:r>
      <w:r>
        <w:rPr>
          <w:rFonts w:ascii="Consolas" w:hAnsi="Consolas"/>
        </w:rPr>
        <w:t>0.04 permil</w:t>
      </w:r>
      <w:r>
        <w:t>. The phase criterion removes sites where the two isotopes are unlikely to share the same dominant seasonal driver, and the amplitude criterion avoids unstable ratios from very small carbon isotope cycles. This definition does not imply that a site is source-free; it identifies sites for which the phasor correction and phase-convergence diagnostics are meaningful.</w:t>
      </w:r>
    </w:p>
    <w:p>
      <w:r>
        <w:t>Table 1 summarizes the observational data products used in the draft. All manuscript citations point to original data products or peer-reviewed compilations, not to local processed files.</w:t>
      </w:r>
    </w:p>
    <w:p>
      <w:r>
        <w:rPr>
          <w:b/>
        </w:rPr>
        <w:t>Table 1. Atmospheric data products used in the seasonal isotope analysis.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Variable</w:t>
            </w:r>
          </w:p>
        </w:tc>
        <w:tc>
          <w:tcPr>
            <w:tcW w:type="dxa" w:w="2448"/>
          </w:tcPr>
          <w:p>
            <w:r>
              <w:rPr>
                <w:b/>
              </w:rPr>
              <w:t>Primary source</w:t>
            </w:r>
          </w:p>
        </w:tc>
        <w:tc>
          <w:tcPr>
            <w:tcW w:type="dxa" w:w="2448"/>
          </w:tcPr>
          <w:p>
            <w:r>
              <w:rPr>
                <w:b/>
              </w:rPr>
              <w:t>Version or DOI</w:t>
            </w:r>
          </w:p>
        </w:tc>
        <w:tc>
          <w:tcPr>
            <w:tcW w:type="dxa" w:w="2448"/>
          </w:tcPr>
          <w:p>
            <w:r>
              <w:rPr>
                <w:b/>
              </w:rPr>
              <w:t>Role in this study</w:t>
            </w:r>
          </w:p>
        </w:tc>
      </w:tr>
      <w:tr>
        <w:tc>
          <w:tcPr>
            <w:tcW w:type="dxa" w:w="2448"/>
          </w:tcPr>
          <w:p>
            <w:r>
              <w:t>CH4` mole fraction</w:t>
            </w:r>
          </w:p>
        </w:tc>
        <w:tc>
          <w:tcPr>
            <w:tcW w:type="dxa" w:w="2448"/>
          </w:tcPr>
          <w:p>
            <w:r>
              <w:t>NOAA GML Global Greenhouse Gas Reference Network surface flask data</w:t>
            </w:r>
          </w:p>
        </w:tc>
        <w:tc>
          <w:tcPr>
            <w:tcW w:type="dxa" w:w="2448"/>
          </w:tcPr>
          <w:p>
            <w:r>
              <w:t>Lan et al. (2025), DOI `10.15138/VNCZ-M766</w:t>
            </w:r>
          </w:p>
        </w:tc>
        <w:tc>
          <w:tcPr>
            <w:tcW w:type="dxa" w:w="2448"/>
          </w:tcPr>
          <w:p>
            <w:r>
              <w:t>Reference methane seasonal cycle and isotope/source decomposition</w:t>
            </w:r>
          </w:p>
        </w:tc>
      </w:tr>
      <w:tr>
        <w:tc>
          <w:tcPr>
            <w:tcW w:type="dxa" w:w="2448"/>
          </w:tcPr>
          <w:p>
            <w:r>
              <w:t>delta13C-CH4</w:t>
            </w:r>
          </w:p>
        </w:tc>
        <w:tc>
          <w:tcPr>
            <w:tcW w:type="dxa" w:w="2448"/>
          </w:tcPr>
          <w:p>
            <w:r>
              <w:t>NOAA/INSTAAR surface flask isotope data</w:t>
            </w:r>
          </w:p>
        </w:tc>
        <w:tc>
          <w:tcPr>
            <w:tcW w:type="dxa" w:w="2448"/>
          </w:tcPr>
          <w:p>
            <w:r>
              <w:t>Michel et al. (2023), DOI `10.15138/9p89-1x02</w:t>
            </w:r>
          </w:p>
        </w:tc>
        <w:tc>
          <w:tcPr>
            <w:tcW w:type="dxa" w:w="2448"/>
          </w:tcPr>
          <w:p>
            <w:r>
              <w:t>Carbon isotope seasonal harmonic</w:t>
            </w:r>
          </w:p>
        </w:tc>
      </w:tr>
      <w:tr>
        <w:tc>
          <w:tcPr>
            <w:tcW w:type="dxa" w:w="2448"/>
          </w:tcPr>
          <w:p>
            <w:r>
              <w:t>deltaD-CH4</w:t>
            </w:r>
          </w:p>
        </w:tc>
        <w:tc>
          <w:tcPr>
            <w:tcW w:type="dxa" w:w="2448"/>
          </w:tcPr>
          <w:p>
            <w:r>
              <w:t>Riddell-Young et al. atmospheric `deltaD-CH4` compilation</w:t>
            </w:r>
          </w:p>
        </w:tc>
        <w:tc>
          <w:tcPr>
            <w:tcW w:type="dxa" w:w="2448"/>
          </w:tcPr>
          <w:p>
            <w:r>
              <w:t>Riddell-Young et al. (2025); NOAA DOI `10.15138/setb-jy31</w:t>
            </w:r>
          </w:p>
        </w:tc>
        <w:tc>
          <w:tcPr>
            <w:tcW w:type="dxa" w:w="2448"/>
          </w:tcPr>
          <w:p>
            <w:r>
              <w:t>Hydrogen isotope seasonal harmonic</w:t>
            </w:r>
          </w:p>
        </w:tc>
      </w:tr>
      <w:tr>
        <w:tc>
          <w:tcPr>
            <w:tcW w:type="dxa" w:w="2448"/>
          </w:tcPr>
          <w:p>
            <w:r>
              <w:t>Laboratory harmonization</w:t>
            </w:r>
          </w:p>
        </w:tc>
        <w:tc>
          <w:tcPr>
            <w:tcW w:type="dxa" w:w="2448"/>
          </w:tcPr>
          <w:p>
            <w:r>
              <w:t>Interlaboratory methane isotope comparison</w:t>
            </w:r>
          </w:p>
        </w:tc>
        <w:tc>
          <w:tcPr>
            <w:tcW w:type="dxa" w:w="2448"/>
          </w:tcPr>
          <w:p>
            <w:r>
              <w:t>Dasgupta et al. (2025), DOI `10.5194/amt-18-6591-2025</w:t>
            </w:r>
          </w:p>
        </w:tc>
        <w:tc>
          <w:tcPr>
            <w:tcW w:type="dxa" w:w="2448"/>
          </w:tcPr>
          <w:p>
            <w:r>
              <w:t>Interpretation of multi-laboratory `deltaD-CH4` scale offsets</w:t>
            </w:r>
          </w:p>
        </w:tc>
      </w:tr>
    </w:tbl>
    <w:p/>
    <w:p>
      <w:pPr>
        <w:pStyle w:val="Heading3"/>
      </w:pPr>
      <w:r>
        <w:t>2.2 Wetland methane emission seasonality</w:t>
      </w:r>
    </w:p>
    <w:p>
      <w:r>
        <w:t xml:space="preserve">Wetland methane source phasors were constructed from the monthly gridded natural vegetated wetland methane emission data set of Li et al. (2026), which provides global monthly emissions for 2000-2025 at 1 degree x 1 degree resolution (Li et al., 2026; Zenodo DOI </w:t>
      </w:r>
      <w:r>
        <w:rPr>
          <w:rFonts w:ascii="Consolas" w:hAnsi="Consolas"/>
        </w:rPr>
        <w:t>10.5281/zenodo.18870108</w:t>
      </w:r>
      <w:r>
        <w:t xml:space="preserve">). We used the </w:t>
      </w:r>
      <w:r>
        <w:rPr>
          <w:rFonts w:ascii="Consolas" w:hAnsi="Consolas"/>
        </w:rPr>
        <w:t>wetch4</w:t>
      </w:r>
      <w:r>
        <w:t xml:space="preserve"> field and computed 2005-2010 climatological annual harmonics for four broad source bands: 60-90 N, 30-60 N, 30 S-30 N, and 90-30 S. These bands are source-seasonality predictors, not atmospheric transport footprints.</w:t>
      </w:r>
    </w:p>
    <w:p>
      <w:r>
        <w:t xml:space="preserve">The 2005-2010 annual totals derived from these bands are approximately </w:t>
      </w:r>
      <w:r>
        <w:rPr>
          <w:rFonts w:ascii="Consolas" w:hAnsi="Consolas"/>
        </w:rPr>
        <w:t>10.9 Tg yr-1</w:t>
      </w:r>
      <w:r>
        <w:t xml:space="preserve"> for 60-90 N, </w:t>
      </w:r>
      <w:r>
        <w:rPr>
          <w:rFonts w:ascii="Consolas" w:hAnsi="Consolas"/>
        </w:rPr>
        <w:t>29.7 Tg yr-1</w:t>
      </w:r>
      <w:r>
        <w:t xml:space="preserve"> for 30-60 N, </w:t>
      </w:r>
      <w:r>
        <w:rPr>
          <w:rFonts w:ascii="Consolas" w:hAnsi="Consolas"/>
        </w:rPr>
        <w:t>114.0 Tg yr-1</w:t>
      </w:r>
      <w:r>
        <w:t xml:space="preserve"> for 30 S-30 N, and </w:t>
      </w:r>
      <w:r>
        <w:rPr>
          <w:rFonts w:ascii="Consolas" w:hAnsi="Consolas"/>
        </w:rPr>
        <w:t>2.9 Tg yr-1</w:t>
      </w:r>
      <w:r>
        <w:t xml:space="preserve"> for 90-30 S. The tropical band contributes the largest annual wetland flux but has a smaller fractional annual amplitude than high-latitude wetlands. High-latitude wetland seasonality is much more strongly peaked, making it important for Northern Hemisphere seasonal isotope phasors even though its annual flux is smaller.</w:t>
      </w:r>
    </w:p>
    <w:p>
      <w:pPr>
        <w:pStyle w:val="Heading3"/>
      </w:pPr>
      <w:r>
        <w:t>2.3 Wetland isotope source signatures</w:t>
      </w:r>
    </w:p>
    <w:p>
      <w:r>
        <w:t xml:space="preserve">The base analysis uses a uniform wetland </w:t>
      </w:r>
      <w:r>
        <w:rPr>
          <w:rFonts w:ascii="Consolas" w:hAnsi="Consolas"/>
        </w:rPr>
        <w:t>delta13C-CH4</w:t>
      </w:r>
      <w:r>
        <w:t xml:space="preserve"> source signature of </w:t>
      </w:r>
      <w:r>
        <w:rPr>
          <w:rFonts w:ascii="Consolas" w:hAnsi="Consolas"/>
        </w:rPr>
        <w:t>-62 permil</w:t>
      </w:r>
      <w:r>
        <w:t xml:space="preserve"> with a structural uncertainty of </w:t>
      </w:r>
      <w:r>
        <w:rPr>
          <w:rFonts w:ascii="Consolas" w:hAnsi="Consolas"/>
        </w:rPr>
        <w:t>5 permil</w:t>
      </w:r>
      <w:r>
        <w:t xml:space="preserve">. This value is used as a global wetland/microbial prior, supported by the spatially resolved wetland source-signature map of Ganesan et al. (2018) and the global microbial source-signature estimate in Riddell-Young et al. (2025). Because Ganesan et al. (2018) shows a meaningful regional gradient, with more depleted high- latitude wetlands and less depleted tropical wetlands, a banded </w:t>
      </w:r>
      <w:r>
        <w:rPr>
          <w:rFonts w:ascii="Consolas" w:hAnsi="Consolas"/>
        </w:rPr>
        <w:t>delta13C</w:t>
      </w:r>
      <w:r>
        <w:t xml:space="preserve"> wetland sensitivity is retained for the Supplementary Information.</w:t>
      </w:r>
    </w:p>
    <w:p>
      <w:r>
        <w:t xml:space="preserve">Wetland </w:t>
      </w:r>
      <w:r>
        <w:rPr>
          <w:rFonts w:ascii="Consolas" w:hAnsi="Consolas"/>
        </w:rPr>
        <w:t>deltaD-CH4</w:t>
      </w:r>
      <w:r>
        <w:t xml:space="preserve"> source signatures are represented with site- or band- specific values based on the geographic dependence of freshwater methane hydrogen isotope ratios in Douglas et al. (2021), earlier environmental-water relationships from Waldron et al. (1999) and Chanton et al. (2006), and OIPC v3.1 precipitation </w:t>
      </w:r>
      <w:r>
        <w:rPr>
          <w:rFonts w:ascii="Consolas" w:hAnsi="Consolas"/>
        </w:rPr>
        <w:t>delta2H</w:t>
      </w:r>
      <w:r>
        <w:t xml:space="preserve"> estimates based on Bowen and Revenaugh (2003) and Bowen et al. (2005). Recommended wetland </w:t>
      </w:r>
      <w:r>
        <w:rPr>
          <w:rFonts w:ascii="Consolas" w:hAnsi="Consolas"/>
        </w:rPr>
        <w:t>deltaD-CH4</w:t>
      </w:r>
      <w:r>
        <w:t xml:space="preserve"> values range from strongly depleted Arctic values to less depleted tropical values; these spatial differences dominate the uncertainty in source corrections at some northern sites.</w:t>
      </w:r>
    </w:p>
    <w:p>
      <w:pPr>
        <w:pStyle w:val="Heading3"/>
      </w:pPr>
      <w:r>
        <w:t>2.4 Sink fractions and kinetic isotope effects</w:t>
      </w:r>
    </w:p>
    <w:p>
      <w:r>
        <w:t xml:space="preserve">We use OH, Cl, soil, and stratospheric methane sink fractions and kinetic isotope-effect values consistent with the phasor-inversion analysis. The OH </w:t>
      </w:r>
      <w:r>
        <w:rPr>
          <w:rFonts w:ascii="Consolas" w:hAnsi="Consolas"/>
        </w:rPr>
        <w:t>alphaD</w:t>
      </w:r>
      <w:r>
        <w:t xml:space="preserve"> value is </w:t>
      </w:r>
      <w:r>
        <w:rPr>
          <w:rFonts w:ascii="Consolas" w:hAnsi="Consolas"/>
        </w:rPr>
        <w:t>1.294</w:t>
      </w:r>
      <w:r>
        <w:t xml:space="preserve">, and OH </w:t>
      </w:r>
      <w:r>
        <w:rPr>
          <w:rFonts w:ascii="Consolas" w:hAnsi="Consolas"/>
        </w:rPr>
        <w:t>alpha13C</w:t>
      </w:r>
      <w:r>
        <w:t xml:space="preserve"> is treated as the target parameter with laboratory reference values of </w:t>
      </w:r>
      <w:r>
        <w:rPr>
          <w:rFonts w:ascii="Consolas" w:hAnsi="Consolas"/>
        </w:rPr>
        <w:t>1.0039</w:t>
      </w:r>
      <w:r>
        <w:t xml:space="preserve"> and </w:t>
      </w:r>
      <w:r>
        <w:rPr>
          <w:rFonts w:ascii="Consolas" w:hAnsi="Consolas"/>
        </w:rPr>
        <w:t>1.0054</w:t>
      </w:r>
      <w:r>
        <w:t xml:space="preserve"> from Saueressig et al. (2001) and Cantrell et al. (1990), respectively. The non-OH sink values are close to those compiled in Riddell-Young et al. (2025) SI Table S3; where minor differences exist, the analysis values are retained and the SI documents the effect of replacing them with the Riddell-Young compact parameter set.</w:t>
      </w:r>
    </w:p>
    <w:p>
      <w:r>
        <w:rPr>
          <w:b/>
        </w:rPr>
        <w:t>Table 2. Sink parameters used in the base analysis.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Parameter</w:t>
            </w:r>
          </w:p>
        </w:tc>
        <w:tc>
          <w:tcPr>
            <w:tcW w:type="dxa" w:w="3264"/>
          </w:tcPr>
          <w:p>
            <w:r>
              <w:rPr>
                <w:b/>
              </w:rPr>
              <w:t>Value used</w:t>
            </w:r>
          </w:p>
        </w:tc>
        <w:tc>
          <w:tcPr>
            <w:tcW w:type="dxa" w:w="3264"/>
          </w:tcPr>
          <w:p>
            <w:r>
              <w:rPr>
                <w:b/>
              </w:rPr>
              <w:t>Primary citation or provenance</w:t>
            </w:r>
          </w:p>
        </w:tc>
      </w:tr>
      <w:tr>
        <w:tc>
          <w:tcPr>
            <w:tcW w:type="dxa" w:w="3264"/>
          </w:tcPr>
          <w:p>
            <w:r>
              <w:t>OH sink fraction</w:t>
            </w:r>
          </w:p>
        </w:tc>
        <w:tc>
          <w:tcPr>
            <w:tcW w:type="dxa" w:w="3264"/>
          </w:tcPr>
          <w:p>
            <w:r>
              <w:t>0.84 +/- 0.04</w:t>
            </w:r>
          </w:p>
        </w:tc>
        <w:tc>
          <w:tcPr>
            <w:tcW w:type="dxa" w:w="3264"/>
          </w:tcPr>
          <w:p>
            <w:r>
              <w:t>Global methane budget context; Riddell-Young et al. (2025) comparison</w:t>
            </w:r>
          </w:p>
        </w:tc>
      </w:tr>
      <w:tr>
        <w:tc>
          <w:tcPr>
            <w:tcW w:type="dxa" w:w="3264"/>
          </w:tcPr>
          <w:p>
            <w:r>
              <w:t>Cl sink fraction</w:t>
            </w:r>
          </w:p>
        </w:tc>
        <w:tc>
          <w:tcPr>
            <w:tcW w:type="dxa" w:w="3264"/>
          </w:tcPr>
          <w:p>
            <w:r>
              <w:t>0.035 +/- 0.01</w:t>
            </w:r>
          </w:p>
        </w:tc>
        <w:tc>
          <w:tcPr>
            <w:tcW w:type="dxa" w:w="3264"/>
          </w:tcPr>
          <w:p>
            <w:r>
              <w:t>Hossaini et al. (2016); Riddell-Young et al. (2025)</w:t>
            </w:r>
          </w:p>
        </w:tc>
      </w:tr>
      <w:tr>
        <w:tc>
          <w:tcPr>
            <w:tcW w:type="dxa" w:w="3264"/>
          </w:tcPr>
          <w:p>
            <w:r>
              <w:t>Soil sink fraction</w:t>
            </w:r>
          </w:p>
        </w:tc>
        <w:tc>
          <w:tcPr>
            <w:tcW w:type="dxa" w:w="3264"/>
          </w:tcPr>
          <w:p>
            <w:r>
              <w:t>0.06 +/- 0.02</w:t>
            </w:r>
          </w:p>
        </w:tc>
        <w:tc>
          <w:tcPr>
            <w:tcW w:type="dxa" w:w="3264"/>
          </w:tcPr>
          <w:p>
            <w:r>
              <w:t>Saunois et al. (2025); Dutaur and Verchot (2007); Riddell-Young et al. (2025)</w:t>
            </w:r>
          </w:p>
        </w:tc>
      </w:tr>
      <w:tr>
        <w:tc>
          <w:tcPr>
            <w:tcW w:type="dxa" w:w="3264"/>
          </w:tcPr>
          <w:p>
            <w:r>
              <w:t>Stratospheric sink fraction</w:t>
            </w:r>
          </w:p>
        </w:tc>
        <w:tc>
          <w:tcPr>
            <w:tcW w:type="dxa" w:w="3264"/>
          </w:tcPr>
          <w:p>
            <w:r>
              <w:t>0.065</w:t>
            </w:r>
          </w:p>
        </w:tc>
        <w:tc>
          <w:tcPr>
            <w:tcW w:type="dxa" w:w="3264"/>
          </w:tcPr>
          <w:p>
            <w:r>
              <w:t>Closure after OH, Cl, and soil; consistent with Riddell-Young et al. (2025) and Saunois et al. (2025) lifetime partitioning</w:t>
            </w:r>
          </w:p>
        </w:tc>
      </w:tr>
      <w:tr>
        <w:tc>
          <w:tcPr>
            <w:tcW w:type="dxa" w:w="3264"/>
          </w:tcPr>
          <w:p>
            <w:r>
              <w:t>OH `alphaD</w:t>
            </w:r>
          </w:p>
        </w:tc>
        <w:tc>
          <w:tcPr>
            <w:tcW w:type="dxa" w:w="3264"/>
          </w:tcPr>
          <w:p>
            <w:r>
              <w:t>1.294 +/- 0.01</w:t>
            </w:r>
          </w:p>
        </w:tc>
        <w:tc>
          <w:tcPr>
            <w:tcW w:type="dxa" w:w="3264"/>
          </w:tcPr>
          <w:p>
            <w:r>
              <w:t>Saueressig et al. (2001)</w:t>
            </w:r>
          </w:p>
        </w:tc>
      </w:tr>
      <w:tr>
        <w:tc>
          <w:tcPr>
            <w:tcW w:type="dxa" w:w="3264"/>
          </w:tcPr>
          <w:p>
            <w:r>
              <w:t>Cl `alpha13C`, `alphaD</w:t>
            </w:r>
          </w:p>
        </w:tc>
        <w:tc>
          <w:tcPr>
            <w:tcW w:type="dxa" w:w="3264"/>
          </w:tcPr>
          <w:p>
            <w:r>
              <w:t>1.066`, `1.508</w:t>
            </w:r>
          </w:p>
        </w:tc>
        <w:tc>
          <w:tcPr>
            <w:tcW w:type="dxa" w:w="3264"/>
          </w:tcPr>
          <w:p>
            <w:r>
              <w:t>Saueressig et al. (1995, 1996)</w:t>
            </w:r>
          </w:p>
        </w:tc>
      </w:tr>
      <w:tr>
        <w:tc>
          <w:tcPr>
            <w:tcW w:type="dxa" w:w="3264"/>
          </w:tcPr>
          <w:p>
            <w:r>
              <w:t>Soil `alpha13C`, `alphaD</w:t>
            </w:r>
          </w:p>
        </w:tc>
        <w:tc>
          <w:tcPr>
            <w:tcW w:type="dxa" w:w="3264"/>
          </w:tcPr>
          <w:p>
            <w:r>
              <w:t>1.022`, `1.066</w:t>
            </w:r>
          </w:p>
        </w:tc>
        <w:tc>
          <w:tcPr>
            <w:tcW w:type="dxa" w:w="3264"/>
          </w:tcPr>
          <w:p>
            <w:r>
              <w:t>King et al. (1989); Snover and Quay (2000)</w:t>
            </w:r>
          </w:p>
        </w:tc>
      </w:tr>
      <w:tr>
        <w:tc>
          <w:tcPr>
            <w:tcW w:type="dxa" w:w="3264"/>
          </w:tcPr>
          <w:p>
            <w:r>
              <w:t>Stratospheric `alpha13C`, `alphaD</w:t>
            </w:r>
          </w:p>
        </w:tc>
        <w:tc>
          <w:tcPr>
            <w:tcW w:type="dxa" w:w="3264"/>
          </w:tcPr>
          <w:p>
            <w:r>
              <w:t>1.013`, `1.16</w:t>
            </w:r>
          </w:p>
        </w:tc>
        <w:tc>
          <w:tcPr>
            <w:tcW w:type="dxa" w:w="3264"/>
          </w:tcPr>
          <w:p>
            <w:r>
              <w:t>Stratospheric isotope literature; compare with Dyonisius et al. (2020)</w:t>
            </w:r>
          </w:p>
        </w:tc>
      </w:tr>
    </w:tbl>
    <w:p/>
    <w:p>
      <w:pPr>
        <w:pStyle w:val="Heading2"/>
      </w:pPr>
      <w:r>
        <w:t>3. Methods</w:t>
      </w:r>
    </w:p>
    <w:p>
      <w:pPr>
        <w:pStyle w:val="Heading3"/>
      </w:pPr>
      <w:r>
        <w:t>3.1 Seasonal harmonic fitting</w:t>
      </w:r>
    </w:p>
    <w:p>
      <w:r>
        <w:t>For each site and each variable, paired monthly means were fit with an annual harmonic and a linear trend:</w:t>
      </w:r>
    </w:p>
    <w:p>
      <w:r>
        <w:rPr>
          <w:rFonts w:ascii="Consolas" w:hAnsi="Consolas"/>
          <w:sz w:val="18"/>
        </w:rPr>
        <w:t>y(t) = c0 + c1 (t - tref) + B sin(2 pi t) + C cos(2 pi t).</w:t>
      </w:r>
    </w:p>
    <w:p>
      <w:r>
        <w:t>The annual seasonal cycle is represented by the complex phasor</w:t>
      </w:r>
    </w:p>
    <w:p>
      <w:r>
        <w:rPr>
          <w:rFonts w:ascii="Consolas" w:hAnsi="Consolas"/>
          <w:sz w:val="18"/>
        </w:rPr>
        <w:t>Z = B + i C,</w:t>
      </w:r>
    </w:p>
    <w:p>
      <w:r>
        <w:t xml:space="preserve">with amplitude </w:t>
      </w:r>
      <w:r>
        <w:rPr>
          <w:rFonts w:ascii="Consolas" w:hAnsi="Consolas"/>
        </w:rPr>
        <w:t>A = |Z|</w:t>
      </w:r>
      <w:r>
        <w:t xml:space="preserve"> and phase determined by the angle of </w:t>
      </w:r>
      <w:r>
        <w:rPr>
          <w:rFonts w:ascii="Consolas" w:hAnsi="Consolas"/>
        </w:rPr>
        <w:t>Z</w:t>
      </w:r>
      <w:r>
        <w:t>. Bootstrap resampling was used to estimate uncertainty in harmonic amplitudes and phases. This representation preserves both amplitude and timing; it is therefore better suited to source-sink separation than scalar seasonal amplitudes alone.</w:t>
      </w:r>
    </w:p>
    <w:p>
      <w:pPr>
        <w:pStyle w:val="Heading3"/>
      </w:pPr>
      <w:r>
        <w:t>3.2 Raw amplitude ratios</w:t>
      </w:r>
    </w:p>
    <w:p>
      <w:r>
        <w:t>The observed isotope amplitude ratio is</w:t>
      </w:r>
    </w:p>
    <w:p>
      <w:r>
        <w:rPr>
          <w:rFonts w:ascii="Consolas" w:hAnsi="Consolas"/>
          <w:sz w:val="18"/>
        </w:rPr>
        <w:t>R_obs = A(delta13C-CH4) / A(deltaD-CH4).</w:t>
      </w:r>
    </w:p>
    <w:p>
      <w:r>
        <w:t xml:space="preserve">For a sink-only annual cycle, </w:t>
      </w:r>
      <w:r>
        <w:rPr>
          <w:rFonts w:ascii="Consolas" w:hAnsi="Consolas"/>
        </w:rPr>
        <w:t>R_obs</w:t>
      </w:r>
      <w:r>
        <w:t xml:space="preserve"> would approximate the ratio of bulk sink fractionation for 13C and D. Values much larger than the bulk-sink laboratory reference range indicate that seasonal source phasors contribute to the observed isotope cycle.</w:t>
      </w:r>
    </w:p>
    <w:p>
      <w:pPr>
        <w:pStyle w:val="Heading3"/>
      </w:pPr>
      <w:r>
        <w:t>3.3 Wetland source phasor construction</w:t>
      </w:r>
    </w:p>
    <w:p>
      <w:r>
        <w:t>For each source band, the wetland emission harmonic is converted into a fractional source phasor:</w:t>
      </w:r>
    </w:p>
    <w:p>
      <w:r>
        <w:rPr>
          <w:rFonts w:ascii="Consolas" w:hAnsi="Consolas"/>
          <w:sz w:val="18"/>
        </w:rPr>
        <w:t>Z_frac = Z_wetland_flux / Q_total,</w:t>
      </w:r>
    </w:p>
    <w:p>
      <w:r>
        <w:t xml:space="preserve">where </w:t>
      </w:r>
      <w:r>
        <w:rPr>
          <w:rFonts w:ascii="Consolas" w:hAnsi="Consolas"/>
        </w:rPr>
        <w:t>Q_total = 580 +/- 50 Tg yr-1</w:t>
      </w:r>
      <w:r>
        <w:t xml:space="preserve"> is the total annual methane source used for scaling (Saunois et al., 2025). The isotope source phasor is then</w:t>
      </w:r>
    </w:p>
    <w:p>
      <w:r>
        <w:rPr>
          <w:rFonts w:ascii="Consolas" w:hAnsi="Consolas"/>
          <w:sz w:val="18"/>
        </w:rPr>
        <w:t>Z_source = (delta_source - delta_atm) Z_frac.</w:t>
      </w:r>
    </w:p>
    <w:p>
      <w:r>
        <w:t>The base source-region assignments are high-latitude wetlands for Alert, Zeppelin, and Barrow; mid-latitude wetlands for Cold Bay and Mace Head; tropical wetlands for Cape Kumukahi; and local Southern Hemisphere extratropical wetlands for Cape Grim and South Pole. These assignments are intended as first-order source-seasonality predictors rather than atmospheric transport model footprints.</w:t>
      </w:r>
    </w:p>
    <w:p>
      <w:pPr>
        <w:pStyle w:val="Heading3"/>
      </w:pPr>
      <w:r>
        <w:t>3.4 Vector source correction</w:t>
      </w:r>
    </w:p>
    <w:p>
      <w:r>
        <w:t>The corrected sink phasor is calculated separately for each isotope:</w:t>
      </w:r>
    </w:p>
    <w:p>
      <w:r>
        <w:rPr>
          <w:rFonts w:ascii="Consolas" w:hAnsi="Consolas"/>
          <w:sz w:val="18"/>
        </w:rPr>
        <w:t>Z_sink = Z_obs - Z_source.</w:t>
      </w:r>
    </w:p>
    <w:p>
      <w:r>
        <w:t>The corrected ratio is then</w:t>
      </w:r>
    </w:p>
    <w:p>
      <w:r>
        <w:rPr>
          <w:rFonts w:ascii="Consolas" w:hAnsi="Consolas"/>
          <w:sz w:val="18"/>
        </w:rPr>
        <w:t>R_corr = |Z_sink(delta13C)| / |Z_sink(deltaD)|.</w:t>
      </w:r>
    </w:p>
    <w:p>
      <w:r>
        <w:t xml:space="preserve">This vector subtraction is the central methodological step. If a source pulse and a sink pulse peak in different months, subtracting scalar amplitudes can over- or under-correct the seasonal isotope cycle. The phasor approach preserves phase information and allows a diagnostic check: after source correction, the </w:t>
      </w:r>
      <w:r>
        <w:rPr>
          <w:rFonts w:ascii="Consolas" w:hAnsi="Consolas"/>
        </w:rPr>
        <w:t>delta13C</w:t>
      </w:r>
      <w:r>
        <w:t xml:space="preserve"> and </w:t>
      </w:r>
      <w:r>
        <w:rPr>
          <w:rFonts w:ascii="Consolas" w:hAnsi="Consolas"/>
        </w:rPr>
        <w:t>deltaD</w:t>
      </w:r>
      <w:r>
        <w:t xml:space="preserve"> sink phasors should peak at similar times if both are controlled by the same OH seasonal sink.</w:t>
      </w:r>
    </w:p>
    <w:p>
      <w:pPr>
        <w:pStyle w:val="Heading3"/>
      </w:pPr>
      <w:r>
        <w:t>3.5 Inference of `alpha13C_OH`</w:t>
      </w:r>
    </w:p>
    <w:p>
      <w:r>
        <w:t xml:space="preserve">For each corrected ratio, </w:t>
      </w:r>
      <w:r>
        <w:rPr>
          <w:rFonts w:ascii="Consolas" w:hAnsi="Consolas"/>
        </w:rPr>
        <w:t>alpha13C_OH</w:t>
      </w:r>
      <w:r>
        <w:t xml:space="preserve"> is inferred by solving the bulk sink fractionation equation:</w:t>
      </w:r>
    </w:p>
    <w:p>
      <w:r>
        <w:rPr>
          <w:rFonts w:ascii="Consolas" w:hAnsi="Consolas"/>
          <w:sz w:val="18"/>
        </w:rPr>
        <w:t>epsilon13C_bulk = R_corr epsilonD_bulk,</w:t>
        <w:br/>
        <w:t>alpha13C_OH = 1 + (epsilon13C_bulk - epsilon13C_nonOH) / (fOH 1000).</w:t>
      </w:r>
    </w:p>
    <w:p>
      <w:r>
        <w:t xml:space="preserve">Monte Carlo sampling propagates uncertainty in observed harmonics, wetland source phasors, wetland isotope source signatures, sink fractions, and non-OH KIEs. For multi-site constraints, site-level corrected-ratio samples are combined using inverse-variance weights before conversion to </w:t>
      </w:r>
      <w:r>
        <w:rPr>
          <w:rFonts w:ascii="Consolas" w:hAnsi="Consolas"/>
        </w:rPr>
        <w:t>alpha13C_OH</w:t>
      </w:r>
      <w:r>
        <w:t>. Nominal phasor-corrected ratios are retained as diagnostics and for reproducibility, but they are not used as the central values of the main KIE constraint. Southern Hemisphere and all-site constraints are reported separately because northern sites retain residual source structure after wetland-only correction.</w:t>
      </w:r>
    </w:p>
    <w:p>
      <w:pPr>
        <w:pStyle w:val="Heading3"/>
      </w:pPr>
      <w:r>
        <w:t>3.6 Sensitivity experiments</w:t>
      </w:r>
    </w:p>
    <w:p>
      <w:r>
        <w:t>We use three sensitivity classes to guard against overinterpretation. First, block bootstrap and harmonic-model comparisons evaluate whether the limited 2005-2010 overlap interval produces stable seasonal ratios. Second, Southern Hemisphere source-region tests use mass-conserving response mixtures of local Southern Hemisphere, tropical, and delayed high-latitude Northern Hemisphere wetland phasors, with the three weights summing to one. The SI also reports additive transport stress tests as upper-bound structural diagnostics, not as mass-conserving source mixtures. Third, biomass burning source phasors are treated in the SI because they can affect northern source structure but are not necessary for the main Southern Hemisphere result.</w:t>
      </w:r>
    </w:p>
    <w:p>
      <w:r>
        <w:t>For the diagnostic uncertainty-attribution panel, we use a one-at-a-time variance decomposition rather than a replacement for the full Monte Carlo. Starting from the Southern Hemisphere alpha constraint, each grouped uncertainty source is perturbed independently with the scales used in the analysis code: observations/harmonic fitting (</w:t>
      </w:r>
      <w:r>
        <w:rPr>
          <w:rFonts w:ascii="Consolas" w:hAnsi="Consolas"/>
        </w:rPr>
        <w:t>sigma_alpha = 0.0040</w:t>
      </w:r>
      <w:r>
        <w:t>), wetland phasors (</w:t>
      </w:r>
      <w:r>
        <w:rPr>
          <w:rFonts w:ascii="Consolas" w:hAnsi="Consolas"/>
        </w:rPr>
        <w:t>0.0030</w:t>
      </w:r>
      <w:r>
        <w:t>), wetland isotope signatures (</w:t>
      </w:r>
      <w:r>
        <w:rPr>
          <w:rFonts w:ascii="Consolas" w:hAnsi="Consolas"/>
        </w:rPr>
        <w:t>0.0025</w:t>
      </w:r>
      <w:r>
        <w:t>), biomass burning correction (</w:t>
      </w:r>
      <w:r>
        <w:rPr>
          <w:rFonts w:ascii="Consolas" w:hAnsi="Consolas"/>
        </w:rPr>
        <w:t>0.0015</w:t>
      </w:r>
      <w:r>
        <w:t>), sink fractions (</w:t>
      </w:r>
      <w:r>
        <w:rPr>
          <w:rFonts w:ascii="Consolas" w:hAnsi="Consolas"/>
        </w:rPr>
        <w:t>0.0020</w:t>
      </w:r>
      <w:r>
        <w:t xml:space="preserve">), </w:t>
      </w:r>
      <w:r>
        <w:rPr>
          <w:rFonts w:ascii="Consolas" w:hAnsi="Consolas"/>
        </w:rPr>
        <w:t>alphaD_OH</w:t>
      </w:r>
      <w:r>
        <w:t xml:space="preserve"> (</w:t>
      </w:r>
      <w:r>
        <w:rPr>
          <w:rFonts w:ascii="Consolas" w:hAnsi="Consolas"/>
        </w:rPr>
        <w:t>0.0018</w:t>
      </w:r>
      <w:r>
        <w:t>), and non-OH KIEs (</w:t>
      </w:r>
      <w:r>
        <w:rPr>
          <w:rFonts w:ascii="Consolas" w:hAnsi="Consolas"/>
        </w:rPr>
        <w:t>0.0012</w:t>
      </w:r>
      <w:r>
        <w:t>). The plotted fractions are each group's variance divided by the sum of the one-at-a-time variances. They are therefore a prioritization diagnostic, not a posterior variance budget.</w:t>
      </w:r>
    </w:p>
    <w:p>
      <w:pPr>
        <w:pStyle w:val="Heading2"/>
      </w:pPr>
      <w:r>
        <w:t>4. Results</w:t>
      </w:r>
    </w:p>
    <w:p>
      <w:pPr>
        <w:pStyle w:val="Heading3"/>
      </w:pPr>
      <w:r>
        <w:t>4.1 Raw isotope amplitude ratios are too large at northern sites</w:t>
      </w:r>
    </w:p>
    <w:p>
      <w:r>
        <w:t xml:space="preserve">The raw isotope amplitude ratio varies strongly with latitude. In the clean site set, </w:t>
      </w:r>
      <w:r>
        <w:rPr>
          <w:rFonts w:ascii="Consolas" w:hAnsi="Consolas"/>
        </w:rPr>
        <w:t>R_obs</w:t>
      </w:r>
      <w:r>
        <w:t xml:space="preserve"> ranges from </w:t>
      </w:r>
      <w:r>
        <w:rPr>
          <w:rFonts w:ascii="Consolas" w:hAnsi="Consolas"/>
        </w:rPr>
        <w:t>0.0237</w:t>
      </w:r>
      <w:r>
        <w:t xml:space="preserve"> at South Pole to </w:t>
      </w:r>
      <w:r>
        <w:rPr>
          <w:rFonts w:ascii="Consolas" w:hAnsi="Consolas"/>
        </w:rPr>
        <w:t>0.1393</w:t>
      </w:r>
      <w:r>
        <w:t xml:space="preserve"> at Barrow. The bulk-sink reference range implied by the two laboratory </w:t>
      </w:r>
      <w:r>
        <w:rPr>
          <w:rFonts w:ascii="Consolas" w:hAnsi="Consolas"/>
        </w:rPr>
        <w:t>alpha13C_OH</w:t>
      </w:r>
      <w:r>
        <w:t xml:space="preserve"> values and the Table 2 sink parameter set is approximately </w:t>
      </w:r>
      <w:r>
        <w:rPr>
          <w:rFonts w:ascii="Consolas" w:hAnsi="Consolas"/>
        </w:rPr>
        <w:t>0.028-0.032</w:t>
      </w:r>
      <w:r>
        <w:t>. All Northern Hemisphere sites exceed this range, in some cases by factors of several. The largest northern value occurs at Barrow, where high-latitude wetland source seasonality is expected to be strong.</w:t>
      </w:r>
    </w:p>
    <w:p>
      <w:r>
        <w:t xml:space="preserve">This pattern indicates that raw seasonal isotope amplitude ratios cannot be interpreted directly as OH KIE constraints outside the least source-influenced sites. The result is consistent with the isotope-gap geometry of microbial sources: the carbon isotope source pulse can be large relative to the carbon sink signal, while the hydrogen isotope sink signal remains relatively large because the source-atmosphere </w:t>
      </w:r>
      <w:r>
        <w:rPr>
          <w:rFonts w:ascii="Consolas" w:hAnsi="Consolas"/>
        </w:rPr>
        <w:t>deltaD</w:t>
      </w:r>
      <w:r>
        <w:t xml:space="preserve"> gap is much larger.</w:t>
      </w:r>
    </w:p>
    <w:p>
      <w:pPr>
        <w:jc w:val="center"/>
      </w:pPr>
      <w:r>
        <w:drawing>
          <wp:inline xmlns:a="http://schemas.openxmlformats.org/drawingml/2006/main" xmlns:pic="http://schemas.openxmlformats.org/drawingml/2006/picture">
            <wp:extent cx="5669280" cy="2188750"/>
            <wp:docPr id="1" name="Picture 1"/>
            <wp:cNvGraphicFramePr>
              <a:graphicFrameLocks noChangeAspect="1"/>
            </wp:cNvGraphicFramePr>
            <a:graphic>
              <a:graphicData uri="http://schemas.openxmlformats.org/drawingml/2006/picture">
                <pic:pic>
                  <pic:nvPicPr>
                    <pic:cNvPr id="0" name="fig1_raw_ratio_phase.png"/>
                    <pic:cNvPicPr/>
                  </pic:nvPicPr>
                  <pic:blipFill>
                    <a:blip r:embed="rId9"/>
                    <a:stretch>
                      <a:fillRect/>
                    </a:stretch>
                  </pic:blipFill>
                  <pic:spPr>
                    <a:xfrm>
                      <a:off x="0" y="0"/>
                      <a:ext cx="5669280" cy="2188750"/>
                    </a:xfrm>
                    <a:prstGeom prst="rect"/>
                  </pic:spPr>
                </pic:pic>
              </a:graphicData>
            </a:graphic>
          </wp:inline>
        </w:drawing>
      </w:r>
    </w:p>
    <w:p>
      <w:pPr>
        <w:jc w:val="center"/>
      </w:pPr>
      <w:r>
        <w:rPr>
          <w:i/>
        </w:rPr>
        <w:t>Figure 1. Raw seasonal isotope amplitude ratios and phase alignment.</w:t>
      </w:r>
    </w:p>
    <w:p>
      <w:r>
        <w:rPr>
          <w:b/>
        </w:rPr>
        <w:t>Figure 1. Raw seasonal isotope amplitude ratios and phase alignment.</w:t>
      </w:r>
      <w:r>
        <w:t xml:space="preserve"> Annual harmonics were fit to paired monthly </w:t>
      </w:r>
      <w:r>
        <w:rPr>
          <w:rFonts w:ascii="Consolas" w:hAnsi="Consolas"/>
        </w:rPr>
        <w:t>delta13C-CH4</w:t>
      </w:r>
      <w:r>
        <w:t xml:space="preserve"> and </w:t>
      </w:r>
      <w:r>
        <w:rPr>
          <w:rFonts w:ascii="Consolas" w:hAnsi="Consolas"/>
        </w:rPr>
        <w:t>deltaD-CH4</w:t>
      </w:r>
      <w:r>
        <w:t xml:space="preserve"> records from the NOAA/INSTAAR </w:t>
      </w:r>
      <w:r>
        <w:rPr>
          <w:rFonts w:ascii="Consolas" w:hAnsi="Consolas"/>
        </w:rPr>
        <w:t>delta13C-CH4</w:t>
      </w:r>
      <w:r>
        <w:t xml:space="preserve"> archive, the Riddell-Young et al. </w:t>
      </w:r>
      <w:r>
        <w:rPr>
          <w:rFonts w:ascii="Consolas" w:hAnsi="Consolas"/>
        </w:rPr>
        <w:t>deltaD-CH4</w:t>
      </w:r>
      <w:r>
        <w:t xml:space="preserve"> archive, and co-located NOAA GML </w:t>
      </w:r>
      <w:r>
        <w:rPr>
          <w:rFonts w:ascii="Consolas" w:hAnsi="Consolas"/>
        </w:rPr>
        <w:t>CH4</w:t>
      </w:r>
      <w:r>
        <w:t xml:space="preserve"> mole fractions. (a) Raw seasonal amplitude ratio </w:t>
      </w:r>
      <w:r>
        <w:rPr>
          <w:rFonts w:ascii="Consolas" w:hAnsi="Consolas"/>
        </w:rPr>
        <w:t>A(delta13C)/A(deltaD)</w:t>
      </w:r>
      <w:r>
        <w:t xml:space="preserve"> versus latitude. The green band is the bulk-sink laboratory reference range implied by Saueressig et al. (2001) and Cantrell et al. (1990), using </w:t>
      </w:r>
      <w:r>
        <w:rPr>
          <w:rFonts w:ascii="Consolas" w:hAnsi="Consolas"/>
        </w:rPr>
        <w:t>alphaD_OH = 1.294</w:t>
      </w:r>
      <w:r>
        <w:t xml:space="preserve"> and the non-OH sink parameters in Table 2. Blue points are sites kept for the clean-site phasor analysis; grey points are diagnostic/excluded sites. (b) Difference between the fitted </w:t>
      </w:r>
      <w:r>
        <w:rPr>
          <w:rFonts w:ascii="Consolas" w:hAnsi="Consolas"/>
        </w:rPr>
        <w:t>delta13C-CH4</w:t>
      </w:r>
      <w:r>
        <w:t xml:space="preserve"> and </w:t>
      </w:r>
      <w:r>
        <w:rPr>
          <w:rFonts w:ascii="Consolas" w:hAnsi="Consolas"/>
        </w:rPr>
        <w:t>deltaD-CH4</w:t>
      </w:r>
      <w:r>
        <w:t xml:space="preserve"> peak months. The grey band marks agreement within one month.</w:t>
      </w:r>
    </w:p>
    <w:p>
      <w:pPr>
        <w:pStyle w:val="Heading3"/>
      </w:pPr>
      <w:r>
        <w:t>4.2 Wetland phasor correction reduces northern ratios but does not remove all residual source structure</w:t>
      </w:r>
    </w:p>
    <w:p>
      <w:r>
        <w:t xml:space="preserve">Wetland phasor correction substantially changes northern sites. At Barrow, </w:t>
      </w:r>
      <w:r>
        <w:rPr>
          <w:rFonts w:ascii="Consolas" w:hAnsi="Consolas"/>
        </w:rPr>
        <w:t>R_obs</w:t>
      </w:r>
      <w:r>
        <w:t xml:space="preserve"> decreases from </w:t>
      </w:r>
      <w:r>
        <w:rPr>
          <w:rFonts w:ascii="Consolas" w:hAnsi="Consolas"/>
        </w:rPr>
        <w:t>0.1393</w:t>
      </w:r>
      <w:r>
        <w:t xml:space="preserve"> to a corrected median of </w:t>
      </w:r>
      <w:r>
        <w:rPr>
          <w:rFonts w:ascii="Consolas" w:hAnsi="Consolas"/>
        </w:rPr>
        <w:t>0.0572</w:t>
      </w:r>
      <w:r>
        <w:t xml:space="preserve">. At Alert, </w:t>
      </w:r>
      <w:r>
        <w:rPr>
          <w:rFonts w:ascii="Consolas" w:hAnsi="Consolas"/>
        </w:rPr>
        <w:t>R_obs</w:t>
      </w:r>
      <w:r>
        <w:t xml:space="preserve"> decreases from </w:t>
      </w:r>
      <w:r>
        <w:rPr>
          <w:rFonts w:ascii="Consolas" w:hAnsi="Consolas"/>
        </w:rPr>
        <w:t>0.0859</w:t>
      </w:r>
      <w:r>
        <w:t xml:space="preserve"> to </w:t>
      </w:r>
      <w:r>
        <w:rPr>
          <w:rFonts w:ascii="Consolas" w:hAnsi="Consolas"/>
        </w:rPr>
        <w:t>0.0506</w:t>
      </w:r>
      <w:r>
        <w:t xml:space="preserve">, and at Mace Head it decreases from </w:t>
      </w:r>
      <w:r>
        <w:rPr>
          <w:rFonts w:ascii="Consolas" w:hAnsi="Consolas"/>
        </w:rPr>
        <w:t>0.0902</w:t>
      </w:r>
      <w:r>
        <w:t xml:space="preserve"> to </w:t>
      </w:r>
      <w:r>
        <w:rPr>
          <w:rFonts w:ascii="Consolas" w:hAnsi="Consolas"/>
        </w:rPr>
        <w:t>0.0626</w:t>
      </w:r>
      <w:r>
        <w:t>. These corrections move the ratios toward the pure-sink range but do not bring them into it. Cape Kumukahi remains high after correction (</w:t>
      </w:r>
      <w:r>
        <w:rPr>
          <w:rFonts w:ascii="Consolas" w:hAnsi="Consolas"/>
        </w:rPr>
        <w:t>R_corr = 0.0653</w:t>
      </w:r>
      <w:r>
        <w:t>), suggesting that unresolved source phasors or transport structure remain important outside the Southern Hemisphere background sites.</w:t>
      </w:r>
    </w:p>
    <w:p>
      <w:r>
        <w:t xml:space="preserve">The correction behaves differently at Southern Hemisphere sites. Cape Grim and South Pole have small local wetland phasors, and their ratios change only modestly: Cape Grim shifts from </w:t>
      </w:r>
      <w:r>
        <w:rPr>
          <w:rFonts w:ascii="Consolas" w:hAnsi="Consolas"/>
        </w:rPr>
        <w:t>0.0282</w:t>
      </w:r>
      <w:r>
        <w:t xml:space="preserve"> to a corrected median of </w:t>
      </w:r>
      <w:r>
        <w:rPr>
          <w:rFonts w:ascii="Consolas" w:hAnsi="Consolas"/>
        </w:rPr>
        <w:t>0.0321</w:t>
      </w:r>
      <w:r>
        <w:t xml:space="preserve">, whereas South Pole shifts from </w:t>
      </w:r>
      <w:r>
        <w:rPr>
          <w:rFonts w:ascii="Consolas" w:hAnsi="Consolas"/>
        </w:rPr>
        <w:t>0.0237</w:t>
      </w:r>
      <w:r>
        <w:t xml:space="preserve"> to </w:t>
      </w:r>
      <w:r>
        <w:rPr>
          <w:rFonts w:ascii="Consolas" w:hAnsi="Consolas"/>
        </w:rPr>
        <w:t>0.0256</w:t>
      </w:r>
      <w:r>
        <w:t>. These small corrections support the use of these sites as the cleanest current atmospheric KIE constraint, while also showing that even Southern Hemisphere ratios are not entirely source-free.</w:t>
      </w:r>
    </w:p>
    <w:p>
      <w:r>
        <w:t xml:space="preserve">The phase diagnostic supports the vector method. After source correction, the corrected </w:t>
      </w:r>
      <w:r>
        <w:rPr>
          <w:rFonts w:ascii="Consolas" w:hAnsi="Consolas"/>
        </w:rPr>
        <w:t>delta13C</w:t>
      </w:r>
      <w:r>
        <w:t xml:space="preserve"> and </w:t>
      </w:r>
      <w:r>
        <w:rPr>
          <w:rFonts w:ascii="Consolas" w:hAnsi="Consolas"/>
        </w:rPr>
        <w:t>deltaD</w:t>
      </w:r>
      <w:r>
        <w:t xml:space="preserve"> sink phasors agree within less than one month at all eight clean sites. Northern corrected sink phases cluster near boreal summer, while Southern Hemisphere corrected sink phases occur in austral summer. This phase convergence is expected if the corrected phasors isolate a common OH-driven seasonal sink.</w:t>
      </w:r>
    </w:p>
    <w:p>
      <w:r>
        <w:rPr>
          <w:b/>
        </w:rPr>
        <w:t>Table 3. Observed and wetland-corrected isotope amplitude ratios.</w:t>
      </w:r>
      <w:r>
        <w:t xml:space="preserve"> Corrected values are Monte Carlo medians of the phasor-corrected ratio, not the nominal deterministic phasor values.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t>Site</w:t>
            </w:r>
          </w:p>
        </w:tc>
        <w:tc>
          <w:tcPr>
            <w:tcW w:type="dxa" w:w="1958"/>
          </w:tcPr>
          <w:p>
            <w:r>
              <w:rPr>
                <w:b/>
              </w:rPr>
              <w:t>Source band</w:t>
            </w:r>
          </w:p>
        </w:tc>
        <w:tc>
          <w:tcPr>
            <w:tcW w:type="dxa" w:w="1958"/>
          </w:tcPr>
          <w:p>
            <w:r>
              <w:rPr>
                <w:b/>
              </w:rPr>
              <w:t>R_obs</w:t>
            </w:r>
          </w:p>
        </w:tc>
        <w:tc>
          <w:tcPr>
            <w:tcW w:type="dxa" w:w="1958"/>
          </w:tcPr>
          <w:p>
            <w:r>
              <w:rPr>
                <w:b/>
              </w:rPr>
              <w:t>R_corr</w:t>
            </w:r>
          </w:p>
        </w:tc>
        <w:tc>
          <w:tcPr>
            <w:tcW w:type="dxa" w:w="1958"/>
          </w:tcPr>
          <w:p>
            <w:r>
              <w:rPr>
                <w:b/>
              </w:rPr>
              <w:t>Interpretation</w:t>
            </w:r>
          </w:p>
        </w:tc>
      </w:tr>
      <w:tr>
        <w:tc>
          <w:tcPr>
            <w:tcW w:type="dxa" w:w="1958"/>
          </w:tcPr>
          <w:p>
            <w:r>
              <w:t>Alert</w:t>
            </w:r>
          </w:p>
        </w:tc>
        <w:tc>
          <w:tcPr>
            <w:tcW w:type="dxa" w:w="1958"/>
          </w:tcPr>
          <w:p>
            <w:r>
              <w:t>60-90 N</w:t>
            </w:r>
          </w:p>
        </w:tc>
        <w:tc>
          <w:tcPr>
            <w:tcW w:type="dxa" w:w="1958"/>
          </w:tcPr>
          <w:p>
            <w:r>
              <w:t>0.0859</w:t>
            </w:r>
          </w:p>
        </w:tc>
        <w:tc>
          <w:tcPr>
            <w:tcW w:type="dxa" w:w="1958"/>
          </w:tcPr>
          <w:p>
            <w:r>
              <w:t>0.0506</w:t>
            </w:r>
          </w:p>
        </w:tc>
        <w:tc>
          <w:tcPr>
            <w:tcW w:type="dxa" w:w="1958"/>
          </w:tcPr>
          <w:p>
            <w:r>
              <w:t>Large northern correction; residual high</w:t>
            </w:r>
          </w:p>
        </w:tc>
      </w:tr>
      <w:tr>
        <w:tc>
          <w:tcPr>
            <w:tcW w:type="dxa" w:w="1958"/>
          </w:tcPr>
          <w:p>
            <w:r>
              <w:t>Zeppelin</w:t>
            </w:r>
          </w:p>
        </w:tc>
        <w:tc>
          <w:tcPr>
            <w:tcW w:type="dxa" w:w="1958"/>
          </w:tcPr>
          <w:p>
            <w:r>
              <w:t>60-90 N</w:t>
            </w:r>
          </w:p>
        </w:tc>
        <w:tc>
          <w:tcPr>
            <w:tcW w:type="dxa" w:w="1958"/>
          </w:tcPr>
          <w:p>
            <w:r>
              <w:t>0.0561</w:t>
            </w:r>
          </w:p>
        </w:tc>
        <w:tc>
          <w:tcPr>
            <w:tcW w:type="dxa" w:w="1958"/>
          </w:tcPr>
          <w:p>
            <w:r>
              <w:t>0.0545</w:t>
            </w:r>
          </w:p>
        </w:tc>
        <w:tc>
          <w:tcPr>
            <w:tcW w:type="dxa" w:w="1958"/>
          </w:tcPr>
          <w:p>
            <w:r>
              <w:t>Little correction; residual high</w:t>
            </w:r>
          </w:p>
        </w:tc>
      </w:tr>
      <w:tr>
        <w:tc>
          <w:tcPr>
            <w:tcW w:type="dxa" w:w="1958"/>
          </w:tcPr>
          <w:p>
            <w:r>
              <w:t>Barrow</w:t>
            </w:r>
          </w:p>
        </w:tc>
        <w:tc>
          <w:tcPr>
            <w:tcW w:type="dxa" w:w="1958"/>
          </w:tcPr>
          <w:p>
            <w:r>
              <w:t>60-90 N</w:t>
            </w:r>
          </w:p>
        </w:tc>
        <w:tc>
          <w:tcPr>
            <w:tcW w:type="dxa" w:w="1958"/>
          </w:tcPr>
          <w:p>
            <w:r>
              <w:t>0.1393</w:t>
            </w:r>
          </w:p>
        </w:tc>
        <w:tc>
          <w:tcPr>
            <w:tcW w:type="dxa" w:w="1958"/>
          </w:tcPr>
          <w:p>
            <w:r>
              <w:t>0.0572</w:t>
            </w:r>
          </w:p>
        </w:tc>
        <w:tc>
          <w:tcPr>
            <w:tcW w:type="dxa" w:w="1958"/>
          </w:tcPr>
          <w:p>
            <w:r>
              <w:t>Largest wetland correction</w:t>
            </w:r>
          </w:p>
        </w:tc>
      </w:tr>
      <w:tr>
        <w:tc>
          <w:tcPr>
            <w:tcW w:type="dxa" w:w="1958"/>
          </w:tcPr>
          <w:p>
            <w:r>
              <w:t>Cold Bay</w:t>
            </w:r>
          </w:p>
        </w:tc>
        <w:tc>
          <w:tcPr>
            <w:tcW w:type="dxa" w:w="1958"/>
          </w:tcPr>
          <w:p>
            <w:r>
              <w:t>30-60 N</w:t>
            </w:r>
          </w:p>
        </w:tc>
        <w:tc>
          <w:tcPr>
            <w:tcW w:type="dxa" w:w="1958"/>
          </w:tcPr>
          <w:p>
            <w:r>
              <w:t>0.0355</w:t>
            </w:r>
          </w:p>
        </w:tc>
        <w:tc>
          <w:tcPr>
            <w:tcW w:type="dxa" w:w="1958"/>
          </w:tcPr>
          <w:p>
            <w:r>
              <w:t>0.0484</w:t>
            </w:r>
          </w:p>
        </w:tc>
        <w:tc>
          <w:tcPr>
            <w:tcW w:type="dxa" w:w="1958"/>
          </w:tcPr>
          <w:p>
            <w:r>
              <w:t>Correction increases ratio because phase matters</w:t>
            </w:r>
          </w:p>
        </w:tc>
      </w:tr>
      <w:tr>
        <w:tc>
          <w:tcPr>
            <w:tcW w:type="dxa" w:w="1958"/>
          </w:tcPr>
          <w:p>
            <w:r>
              <w:t>Mace Head</w:t>
            </w:r>
          </w:p>
        </w:tc>
        <w:tc>
          <w:tcPr>
            <w:tcW w:type="dxa" w:w="1958"/>
          </w:tcPr>
          <w:p>
            <w:r>
              <w:t>30-60 N</w:t>
            </w:r>
          </w:p>
        </w:tc>
        <w:tc>
          <w:tcPr>
            <w:tcW w:type="dxa" w:w="1958"/>
          </w:tcPr>
          <w:p>
            <w:r>
              <w:t>0.0902</w:t>
            </w:r>
          </w:p>
        </w:tc>
        <w:tc>
          <w:tcPr>
            <w:tcW w:type="dxa" w:w="1958"/>
          </w:tcPr>
          <w:p>
            <w:r>
              <w:t>0.0626</w:t>
            </w:r>
          </w:p>
        </w:tc>
        <w:tc>
          <w:tcPr>
            <w:tcW w:type="dxa" w:w="1958"/>
          </w:tcPr>
          <w:p>
            <w:r>
              <w:t>Correction reduces but remains high</w:t>
            </w:r>
          </w:p>
        </w:tc>
      </w:tr>
      <w:tr>
        <w:tc>
          <w:tcPr>
            <w:tcW w:type="dxa" w:w="1958"/>
          </w:tcPr>
          <w:p>
            <w:r>
              <w:t>Cape Kumukahi</w:t>
            </w:r>
          </w:p>
        </w:tc>
        <w:tc>
          <w:tcPr>
            <w:tcW w:type="dxa" w:w="1958"/>
          </w:tcPr>
          <w:p>
            <w:r>
              <w:t>Tropics</w:t>
            </w:r>
          </w:p>
        </w:tc>
        <w:tc>
          <w:tcPr>
            <w:tcW w:type="dxa" w:w="1958"/>
          </w:tcPr>
          <w:p>
            <w:r>
              <w:t>0.0607</w:t>
            </w:r>
          </w:p>
        </w:tc>
        <w:tc>
          <w:tcPr>
            <w:tcW w:type="dxa" w:w="1958"/>
          </w:tcPr>
          <w:p>
            <w:r>
              <w:t>0.0653</w:t>
            </w:r>
          </w:p>
        </w:tc>
        <w:tc>
          <w:tcPr>
            <w:tcW w:type="dxa" w:w="1958"/>
          </w:tcPr>
          <w:p>
            <w:r>
              <w:t>Tropical/source residual remains high</w:t>
            </w:r>
          </w:p>
        </w:tc>
      </w:tr>
      <w:tr>
        <w:tc>
          <w:tcPr>
            <w:tcW w:type="dxa" w:w="1958"/>
          </w:tcPr>
          <w:p>
            <w:r>
              <w:t>Cape Grim</w:t>
            </w:r>
          </w:p>
        </w:tc>
        <w:tc>
          <w:tcPr>
            <w:tcW w:type="dxa" w:w="1958"/>
          </w:tcPr>
          <w:p>
            <w:r>
              <w:t>90-30 S</w:t>
            </w:r>
          </w:p>
        </w:tc>
        <w:tc>
          <w:tcPr>
            <w:tcW w:type="dxa" w:w="1958"/>
          </w:tcPr>
          <w:p>
            <w:r>
              <w:t>0.0282</w:t>
            </w:r>
          </w:p>
        </w:tc>
        <w:tc>
          <w:tcPr>
            <w:tcW w:type="dxa" w:w="1958"/>
          </w:tcPr>
          <w:p>
            <w:r>
              <w:t>0.0321</w:t>
            </w:r>
          </w:p>
        </w:tc>
        <w:tc>
          <w:tcPr>
            <w:tcW w:type="dxa" w:w="1958"/>
          </w:tcPr>
          <w:p>
            <w:r>
              <w:t>Small correction</w:t>
            </w:r>
          </w:p>
        </w:tc>
      </w:tr>
      <w:tr>
        <w:tc>
          <w:tcPr>
            <w:tcW w:type="dxa" w:w="1958"/>
          </w:tcPr>
          <w:p>
            <w:r>
              <w:t>South Pole</w:t>
            </w:r>
          </w:p>
        </w:tc>
        <w:tc>
          <w:tcPr>
            <w:tcW w:type="dxa" w:w="1958"/>
          </w:tcPr>
          <w:p>
            <w:r>
              <w:t>90-30 S</w:t>
            </w:r>
          </w:p>
        </w:tc>
        <w:tc>
          <w:tcPr>
            <w:tcW w:type="dxa" w:w="1958"/>
          </w:tcPr>
          <w:p>
            <w:r>
              <w:t>0.0237</w:t>
            </w:r>
          </w:p>
        </w:tc>
        <w:tc>
          <w:tcPr>
            <w:tcW w:type="dxa" w:w="1958"/>
          </w:tcPr>
          <w:p>
            <w:r>
              <w:t>0.0256</w:t>
            </w:r>
          </w:p>
        </w:tc>
        <w:tc>
          <w:tcPr>
            <w:tcW w:type="dxa" w:w="1958"/>
          </w:tcPr>
          <w:p>
            <w:r>
              <w:t>Small correction with large uncertainty</w:t>
            </w:r>
          </w:p>
        </w:tc>
      </w:tr>
    </w:tbl>
    <w:p/>
    <w:p>
      <w:pPr>
        <w:jc w:val="center"/>
      </w:pPr>
      <w:r>
        <w:drawing>
          <wp:inline xmlns:a="http://schemas.openxmlformats.org/drawingml/2006/main" xmlns:pic="http://schemas.openxmlformats.org/drawingml/2006/picture">
            <wp:extent cx="5669280" cy="1787658"/>
            <wp:docPr id="2" name="Picture 2"/>
            <wp:cNvGraphicFramePr>
              <a:graphicFrameLocks noChangeAspect="1"/>
            </wp:cNvGraphicFramePr>
            <a:graphic>
              <a:graphicData uri="http://schemas.openxmlformats.org/drawingml/2006/picture">
                <pic:pic>
                  <pic:nvPicPr>
                    <pic:cNvPr id="0" name="fig2_phase_convergence.png"/>
                    <pic:cNvPicPr/>
                  </pic:nvPicPr>
                  <pic:blipFill>
                    <a:blip r:embed="rId10"/>
                    <a:stretch>
                      <a:fillRect/>
                    </a:stretch>
                  </pic:blipFill>
                  <pic:spPr>
                    <a:xfrm>
                      <a:off x="0" y="0"/>
                      <a:ext cx="5669280" cy="1787658"/>
                    </a:xfrm>
                    <a:prstGeom prst="rect"/>
                  </pic:spPr>
                </pic:pic>
              </a:graphicData>
            </a:graphic>
          </wp:inline>
        </w:drawing>
      </w:r>
    </w:p>
    <w:p>
      <w:pPr>
        <w:jc w:val="center"/>
      </w:pPr>
      <w:r>
        <w:rPr>
          <w:i/>
        </w:rPr>
        <w:t>Figure 2. Local wetland correction and phase convergence.</w:t>
      </w:r>
    </w:p>
    <w:p>
      <w:r>
        <w:rPr>
          <w:b/>
        </w:rPr>
        <w:t>Figure 2. Local wetland correction and phase convergence.</w:t>
      </w:r>
      <w:r>
        <w:t xml:space="preserve"> Wetland source phasors were derived from Li et al. (2026) monthly natural vegetated wetland emissions and applied as complex annual-harmonic corrections using the wetland isotope source signatures described in Section 2.3. (a) Observed and local-wetland-corrected seasonal isotope amplitude ratios for the eight clean sites. Grey circles are raw </w:t>
      </w:r>
      <w:r>
        <w:rPr>
          <w:rFonts w:ascii="Consolas" w:hAnsi="Consolas"/>
        </w:rPr>
        <w:t>R_obs = A(delta13C)/A(deltaD)</w:t>
      </w:r>
      <w:r>
        <w:t xml:space="preserve">, blue squares are Monte Carlo medians of corrected </w:t>
      </w:r>
      <w:r>
        <w:rPr>
          <w:rFonts w:ascii="Consolas" w:hAnsi="Consolas"/>
        </w:rPr>
        <w:t>R_corr</w:t>
      </w:r>
      <w:r>
        <w:t xml:space="preserve">, light-blue horizontal bars show 95% Monte Carlo intervals, and grey line segments show the site-level displacement caused by local wetland phasor subtraction. Dashed vertical lines show the bulk-sink ratios implied by the Saueressig et al. (2001) and Cantrell et al. (1990) OH </w:t>
      </w:r>
      <w:r>
        <w:rPr>
          <w:rFonts w:ascii="Consolas" w:hAnsi="Consolas"/>
        </w:rPr>
        <w:t>13C</w:t>
      </w:r>
      <w:r>
        <w:t xml:space="preserve"> KIE values under the sink parameter set used here. (b) Fitted peak months for </w:t>
      </w:r>
      <w:r>
        <w:rPr>
          <w:rFonts w:ascii="Consolas" w:hAnsi="Consolas"/>
        </w:rPr>
        <w:t>delta13C-CH4</w:t>
      </w:r>
      <w:r>
        <w:t xml:space="preserve"> and </w:t>
      </w:r>
      <w:r>
        <w:rPr>
          <w:rFonts w:ascii="Consolas" w:hAnsi="Consolas"/>
        </w:rPr>
        <w:t>deltaD-CH4</w:t>
      </w:r>
      <w:r>
        <w:t xml:space="preserve"> before and after correction. Red symbols show the observed isotope phasors; blue symbols show the corrected sink phasors. (c) Absolute </w:t>
      </w:r>
      <w:r>
        <w:rPr>
          <w:rFonts w:ascii="Consolas" w:hAnsi="Consolas"/>
        </w:rPr>
        <w:t>delta13C</w:t>
      </w:r>
      <w:r>
        <w:t>-</w:t>
      </w:r>
      <w:r>
        <w:rPr>
          <w:rFonts w:ascii="Consolas" w:hAnsi="Consolas"/>
        </w:rPr>
        <w:t>deltaD</w:t>
      </w:r>
      <w:r>
        <w:t xml:space="preserve"> peak-month difference before and after correction. The corrected phasors converge to less than one month at all eight clean sites, supporting the interpretation that the correction isolates a shared OH-driven seasonal sink.</w:t>
      </w:r>
    </w:p>
    <w:p>
      <w:pPr>
        <w:pStyle w:val="Heading3"/>
      </w:pPr>
      <w:r>
        <w:t>4.3 Southern Hemisphere sites give the cleanest atmospheric KIE constraint</w:t>
      </w:r>
    </w:p>
    <w:p>
      <w:r>
        <w:t>The primary atmospheric constraint uses Cape Grim and South Pole after wetland phasor correction. The Southern Hemisphere phasor-corrected result is</w:t>
      </w:r>
    </w:p>
    <w:p>
      <w:r>
        <w:rPr>
          <w:rFonts w:ascii="Consolas" w:hAnsi="Consolas"/>
          <w:sz w:val="18"/>
        </w:rPr>
        <w:t>alpha13C_OH = 1.0046 [0.9969, 1.0158] 95% interval.</w:t>
      </w:r>
    </w:p>
    <w:p>
      <w:r>
        <w:t>This estimate lies between the laboratory values of Saueressig et al. (2001) and Cantrell et al. (1990) and is consistent with both within uncertainty. The central value is slightly closer to Saueressig, but the current Southern Hemisphere seasonal record is not precise enough to exclude Cantrell.</w:t>
      </w:r>
    </w:p>
    <w:p>
      <w:r>
        <w:t>The all-site phasor-corrected estimate is higher:</w:t>
      </w:r>
    </w:p>
    <w:p>
      <w:r>
        <w:rPr>
          <w:rFonts w:ascii="Consolas" w:hAnsi="Consolas"/>
          <w:sz w:val="18"/>
        </w:rPr>
        <w:t>alpha13C_OH = 1.0104 [1.0018, 1.0207] 95% interval.</w:t>
      </w:r>
    </w:p>
    <w:p>
      <w:r>
        <w:t>Because the all-site estimate is dominated by residual high northern corrected ratios, we interpret it as a diagnostic of remaining source-seasonality structure rather than as the preferred KIE constraint. The contrast between the Southern Hemisphere and all-site estimates is itself informative: wetland correction moves northern sites in the expected direction, but wetland-only phasors are not sufficient to turn northern seasonal cycles into clean OH KIE constraints.</w:t>
      </w:r>
    </w:p>
    <w:p>
      <w:pPr>
        <w:pStyle w:val="Heading3"/>
      </w:pPr>
      <w:r>
        <w:t>4.4 Southern Hemisphere source-region sensitivity supports the main framing</w:t>
      </w:r>
    </w:p>
    <w:p>
      <w:r>
        <w:t xml:space="preserve">We tested whether replacing the local Southern Hemisphere source assignment with mass-conserving source-region mixtures changes the interpretation. In these tests, the delayed high-latitude Northern Hemisphere wetland response weight is limited to </w:t>
      </w:r>
      <w:r>
        <w:rPr>
          <w:rFonts w:ascii="Consolas" w:hAnsi="Consolas"/>
        </w:rPr>
        <w:t>0.04</w:t>
      </w:r>
      <w:r>
        <w:t xml:space="preserve">, </w:t>
      </w:r>
      <w:r>
        <w:rPr>
          <w:rFonts w:ascii="Consolas" w:hAnsi="Consolas"/>
        </w:rPr>
        <w:t>0.06</w:t>
      </w:r>
      <w:r>
        <w:t xml:space="preserve">, </w:t>
      </w:r>
      <w:r>
        <w:rPr>
          <w:rFonts w:ascii="Consolas" w:hAnsi="Consolas"/>
        </w:rPr>
        <w:t>0.08</w:t>
      </w:r>
      <w:r>
        <w:t xml:space="preserve">, or </w:t>
      </w:r>
      <w:r>
        <w:rPr>
          <w:rFonts w:ascii="Consolas" w:hAnsi="Consolas"/>
        </w:rPr>
        <w:t>0.10</w:t>
      </w:r>
      <w:r>
        <w:t xml:space="preserve">; the tropical response weight spans </w:t>
      </w:r>
      <w:r>
        <w:rPr>
          <w:rFonts w:ascii="Consolas" w:hAnsi="Consolas"/>
        </w:rPr>
        <w:t>0.00-0.50</w:t>
      </w:r>
      <w:r>
        <w:t>; and the remaining weight is assigned to the local Southern Hemisphere wetland phasor. The three weights therefore sum to one, avoiding an artificial increase in total wetland source seasonality.</w:t>
      </w:r>
    </w:p>
    <w:p>
      <w:r>
        <w:t xml:space="preserve">Across this deterministic mass-conserving grid, the mean inferred Southern Hemisphere </w:t>
      </w:r>
      <w:r>
        <w:rPr>
          <w:rFonts w:ascii="Consolas" w:hAnsi="Consolas"/>
        </w:rPr>
        <w:t>alpha13C_OH</w:t>
      </w:r>
      <w:r>
        <w:t xml:space="preserve"> spans about </w:t>
      </w:r>
      <w:r>
        <w:rPr>
          <w:rFonts w:ascii="Consolas" w:hAnsi="Consolas"/>
        </w:rPr>
        <w:t>0.9989-1.0062</w:t>
      </w:r>
      <w:r>
        <w:t xml:space="preserve">. The range overlaps the preferred Southern Hemisphere Monte Carlo constraint and remains close to the laboratory comparison range, supporting the conclusion that plausible tropical and weak delayed high-latitude Northern Hemisphere source-region mixing does not overturn the main KIE interpretation. The SI separates the combined grid into two one-dimensional slices: tropical-only replacement gives a shallow U-shaped response, whereas delayed high-latitude Northern Hemisphere replacement alone raises the deterministic alpha only from about </w:t>
      </w:r>
      <w:r>
        <w:rPr>
          <w:rFonts w:ascii="Consolas" w:hAnsi="Consolas"/>
        </w:rPr>
        <w:t>1.0052</w:t>
      </w:r>
      <w:r>
        <w:t xml:space="preserve"> to </w:t>
      </w:r>
      <w:r>
        <w:rPr>
          <w:rFonts w:ascii="Consolas" w:hAnsi="Consolas"/>
        </w:rPr>
        <w:t>1.0061</w:t>
      </w:r>
      <w:r>
        <w:t xml:space="preserve"> over the tested </w:t>
      </w:r>
      <w:r>
        <w:rPr>
          <w:rFonts w:ascii="Consolas" w:hAnsi="Consolas"/>
        </w:rPr>
        <w:t>0.00-0.10</w:t>
      </w:r>
      <w:r>
        <w:t xml:space="preserve"> response-weight range (Fig. S9). Additive delayed Northern Hemisphere tests are still useful as structural transport stress tests because interhemispheric transport can attenuate and delay annual signals (Geller et al., 1997; Levin and Hesshaimer, 1996; Patra et al., 2011; Holzer and Waugh, 2015), but we keep those tests in the SI rather than treating them as mass-conserving corrections.</w:t>
      </w:r>
    </w:p>
    <w:p>
      <w:r>
        <w:t xml:space="preserve">The deterministic values in Fig. S9 should not be read as a second central estimate of the OH KIE. The zero-imported-response case in that figure is the simple mean of nominal CGO and SPO phasor-corrected ratios, which gives an alpha value of about </w:t>
      </w:r>
      <w:r>
        <w:rPr>
          <w:rFonts w:ascii="Consolas" w:hAnsi="Consolas"/>
        </w:rPr>
        <w:t>1.0052</w:t>
      </w:r>
      <w:r>
        <w:t xml:space="preserve"> and therefore appears closer to Cantrell et al. (1990). In contrast, the preferred main-text estimate combines the CGO and SPO corrected-ratio Monte Carlo samples, including observation, source-phasor, source-signature, and sink-parameter uncertainties, before converting to </w:t>
      </w:r>
      <w:r>
        <w:rPr>
          <w:rFonts w:ascii="Consolas" w:hAnsi="Consolas"/>
        </w:rPr>
        <w:t>alpha13C_OH</w:t>
      </w:r>
      <w:r>
        <w:t xml:space="preserve">; this gives </w:t>
      </w:r>
      <w:r>
        <w:rPr>
          <w:rFonts w:ascii="Consolas" w:hAnsi="Consolas"/>
        </w:rPr>
        <w:t>1.0046 [0.9969, 1.0158]</w:t>
      </w:r>
      <w:r>
        <w:t xml:space="preserve"> (Fig. 3a). The difference therefore reflects the statistical level of the calculation, not a conflict between the source-region sensitivity test and the atmospheric KIE constraint.</w:t>
      </w:r>
    </w:p>
    <w:p>
      <w:pPr>
        <w:pStyle w:val="Heading3"/>
      </w:pPr>
      <w:r>
        <w:t>4.5 Uncertainty is dominated by observations and wetland source phasors</w:t>
      </w:r>
    </w:p>
    <w:p>
      <w:r>
        <w:t xml:space="preserve">A one-at-a-time uncertainty attribution indicates that observation-related harmonic uncertainty is the largest contribution to the alpha uncertainty budget, accounting for about </w:t>
      </w:r>
      <w:r>
        <w:rPr>
          <w:rFonts w:ascii="Consolas" w:hAnsi="Consolas"/>
        </w:rPr>
        <w:t>39%</w:t>
      </w:r>
      <w:r>
        <w:t xml:space="preserve"> of the diagnostic variance. Wetland phasor uncertainty contributes about </w:t>
      </w:r>
      <w:r>
        <w:rPr>
          <w:rFonts w:ascii="Consolas" w:hAnsi="Consolas"/>
        </w:rPr>
        <w:t>21%</w:t>
      </w:r>
      <w:r>
        <w:t xml:space="preserve">, wetland isotope-source uncertainty about </w:t>
      </w:r>
      <w:r>
        <w:rPr>
          <w:rFonts w:ascii="Consolas" w:hAnsi="Consolas"/>
        </w:rPr>
        <w:t>14%</w:t>
      </w:r>
      <w:r>
        <w:t xml:space="preserve">, sink fractions about </w:t>
      </w:r>
      <w:r>
        <w:rPr>
          <w:rFonts w:ascii="Consolas" w:hAnsi="Consolas"/>
        </w:rPr>
        <w:t>9%</w:t>
      </w:r>
      <w:r>
        <w:t xml:space="preserve">, </w:t>
      </w:r>
      <w:r>
        <w:rPr>
          <w:rFonts w:ascii="Consolas" w:hAnsi="Consolas"/>
        </w:rPr>
        <w:t>alphaD_OH</w:t>
      </w:r>
      <w:r>
        <w:t xml:space="preserve"> about </w:t>
      </w:r>
      <w:r>
        <w:rPr>
          <w:rFonts w:ascii="Consolas" w:hAnsi="Consolas"/>
        </w:rPr>
        <w:t>8%</w:t>
      </w:r>
      <w:r>
        <w:t xml:space="preserve">, biomass burning about </w:t>
      </w:r>
      <w:r>
        <w:rPr>
          <w:rFonts w:ascii="Consolas" w:hAnsi="Consolas"/>
        </w:rPr>
        <w:t>5%</w:t>
      </w:r>
      <w:r>
        <w:t xml:space="preserve">, and non-OH KIEs about </w:t>
      </w:r>
      <w:r>
        <w:rPr>
          <w:rFonts w:ascii="Consolas" w:hAnsi="Consolas"/>
        </w:rPr>
        <w:t>3%</w:t>
      </w:r>
      <w:r>
        <w:t>. These values are diagnostic rather than a replacement for the full Monte Carlo propagation, but they identify the most important paths for improving the constraint: longer paired isotope records, better source-region phasors, and better wetland isotope source signatures.</w:t>
      </w:r>
    </w:p>
    <w:p>
      <w:r>
        <w:t>Biomass burning is therefore treated as a Supplementary Information topic. It can change northern corrected ratios, but it is not the dominant uncertainty for the main Southern Hemisphere result and should not be the main-text focus unless a later figure shows that it changes the headline Southern Hemisphere constraint.</w:t>
      </w:r>
    </w:p>
    <w:p>
      <w:pPr>
        <w:jc w:val="center"/>
      </w:pPr>
      <w:r>
        <w:drawing>
          <wp:inline xmlns:a="http://schemas.openxmlformats.org/drawingml/2006/main" xmlns:pic="http://schemas.openxmlformats.org/drawingml/2006/picture">
            <wp:extent cx="5669280" cy="1836767"/>
            <wp:docPr id="3" name="Picture 3"/>
            <wp:cNvGraphicFramePr>
              <a:graphicFrameLocks noChangeAspect="1"/>
            </wp:cNvGraphicFramePr>
            <a:graphic>
              <a:graphicData uri="http://schemas.openxmlformats.org/drawingml/2006/picture">
                <pic:pic>
                  <pic:nvPicPr>
                    <pic:cNvPr id="0" name="fig3_alpha_sensitivity_uncertainty.png"/>
                    <pic:cNvPicPr/>
                  </pic:nvPicPr>
                  <pic:blipFill>
                    <a:blip r:embed="rId11"/>
                    <a:stretch>
                      <a:fillRect/>
                    </a:stretch>
                  </pic:blipFill>
                  <pic:spPr>
                    <a:xfrm>
                      <a:off x="0" y="0"/>
                      <a:ext cx="5669280" cy="1836767"/>
                    </a:xfrm>
                    <a:prstGeom prst="rect"/>
                  </pic:spPr>
                </pic:pic>
              </a:graphicData>
            </a:graphic>
          </wp:inline>
        </w:drawing>
      </w:r>
    </w:p>
    <w:p>
      <w:pPr>
        <w:jc w:val="center"/>
      </w:pPr>
      <w:r>
        <w:rPr>
          <w:i/>
        </w:rPr>
        <w:t>Figure 3. Atmospheric `alpha13C_OH` constraint, Southern Hemisphere source-region sensitivity, and uncertainty attribution.</w:t>
      </w:r>
    </w:p>
    <w:p>
      <w:r>
        <w:rPr>
          <w:b/>
        </w:rPr>
        <w:t>Figure 3. Atmospheric `alpha13C_OH` constraint, Southern Hemisphere source-region sensitivity, and uncertainty attribution.</w:t>
      </w:r>
      <w:r>
        <w:t xml:space="preserve"> (a) Preferred Southern Hemisphere phasor-corrected atmospheric constraint and the corresponding all-clean-site estimate, obtained by combining corrected-ratio Monte Carlo samples before alpha inversion. Horizontal bars are 95% intervals. Dashed lines mark the Saueressig et al. (2001) and Cantrell et al. (1990) laboratory values. (b) Mean inferred Southern Hemisphere </w:t>
      </w:r>
      <w:r>
        <w:rPr>
          <w:rFonts w:ascii="Consolas" w:hAnsi="Consolas"/>
        </w:rPr>
        <w:t>alpha13C_OH</w:t>
      </w:r>
      <w:r>
        <w:t xml:space="preserve"> under mass-conserving source-region mixtures of local Southern Hemisphere, tropical, and delayed high-latitude Northern Hemisphere wetland phasors. The remaining weight after choosing the tropical and Northern Hemisphere weights is assigned to the local Southern Hemisphere phasor. (c) One-at-a-time grouped uncertainty attribution for the alpha constraint; fractions are diagnostic and do not replace the full Monte Carlo interval. Each bar is the variance from perturbing one uncertainty group alone, divided by the summed one-at-a-time variance across all groups.</w:t>
      </w:r>
    </w:p>
    <w:p>
      <w:pPr>
        <w:pStyle w:val="Heading2"/>
      </w:pPr>
      <w:r>
        <w:t>5. Discussion</w:t>
      </w:r>
    </w:p>
    <w:p>
      <w:pPr>
        <w:pStyle w:val="Heading3"/>
      </w:pPr>
      <w:r>
        <w:t>5.1 What the atmospheric seasonal constraint does and does not show</w:t>
      </w:r>
    </w:p>
    <w:p>
      <w:r>
        <w:t xml:space="preserve">The seasonal phasor analysis provides an atmospheric constraint on the methane OH 13C kinetic isotope effect that is independent of the annual global isotope mass balance. The preferred Southern Hemisphere estimate is consistent with both leading laboratory determinations. Its central value falls between the Saueressig et al. (2001) and Cantrell et al. (1990) values and is marginally closer to Saueressig, but the present uncertainty does not distinguish the two laboratory results. This agreement is encouraging because the method uses a distinct observable: the relative annual-cycle amplitudes and phases of co-located </w:t>
      </w:r>
      <w:r>
        <w:rPr>
          <w:rFonts w:ascii="Consolas" w:hAnsi="Consolas"/>
        </w:rPr>
        <w:t>delta13C-CH4</w:t>
      </w:r>
      <w:r>
        <w:t xml:space="preserve"> and </w:t>
      </w:r>
      <w:r>
        <w:rPr>
          <w:rFonts w:ascii="Consolas" w:hAnsi="Consolas"/>
        </w:rPr>
        <w:t>deltaD-CH4</w:t>
      </w:r>
      <w:r>
        <w:t>.</w:t>
      </w:r>
    </w:p>
    <w:p>
      <w:r>
        <w:t>The method does not yet provide a globally universal site-by-site KIE estimate. Northern Hemisphere sites remain high after wetland-only correction, implying that other seasonal source terms, transport structure, or source-signature errors remain in the corrected phasors. This is not a failure of the seasonal approach; it is a useful diagnostic. Northern sites are telling us that source seasonality is still unresolved at the level needed for KIE inference.</w:t>
      </w:r>
    </w:p>
    <w:p>
      <w:pPr>
        <w:pStyle w:val="Heading3"/>
      </w:pPr>
      <w:r>
        <w:t>5.2 Why phasors matter</w:t>
      </w:r>
    </w:p>
    <w:p>
      <w:r>
        <w:t>The phasor formulation is central because source and sink seasonal cycles do not necessarily peak in the same month. High-latitude wetlands can peak later than OH, tropical wetlands have different seasonal structure, and transported signals can be delayed and attenuated. Scalar amplitude subtraction discards this timing information. In contrast, the complex phasor approach uses both amplitude and phase, and it gives an internal consistency check: the corrected sink phasors for carbon and hydrogen isotopes should align in phase if the remaining signal is dominated by a common sink.</w:t>
      </w:r>
    </w:p>
    <w:p>
      <w:pPr>
        <w:pStyle w:val="Heading3"/>
      </w:pPr>
      <w:r>
        <w:t>5.3 Implications for isotope-enabled methane budgets</w:t>
      </w:r>
    </w:p>
    <w:p>
      <w:r>
        <w:t xml:space="preserve">Many isotope-enabled methane budget studies rely on prescribed source signatures and sink fractionation factors. The present analysis highlights a related but distinct issue: seasonal isotope constraints depend on the phasor geometry of sources and sinks. A source that is modest in annual flux can have a large seasonal phasor, and its effect on </w:t>
      </w:r>
      <w:r>
        <w:rPr>
          <w:rFonts w:ascii="Consolas" w:hAnsi="Consolas"/>
        </w:rPr>
        <w:t>A(delta13C)/A(deltaD)</w:t>
      </w:r>
      <w:r>
        <w:t xml:space="preserve"> depends on both isotope source gaps and phase timing. This is particularly important for high-latitude wetlands, where annual flux is smaller than the tropics but fractional seasonality is large.</w:t>
      </w:r>
    </w:p>
    <w:p>
      <w:r>
        <w:t>The Southern Hemisphere result also suggests a practical way forward. Sites with small local source phasors can anchor the sink constraint, while Northern Hemisphere sites can be used to test and improve source phasor models. This division of roles avoids overinterpreting northern residuals as a large OH KIE while still extracting useful information from their seasonal structure.</w:t>
      </w:r>
    </w:p>
    <w:p>
      <w:pPr>
        <w:pStyle w:val="Heading3"/>
      </w:pPr>
      <w:r>
        <w:t>5.4 Limitations</w:t>
      </w:r>
    </w:p>
    <w:p>
      <w:r>
        <w:t xml:space="preserve">The main limitation is the short paired isotope overlap. Most same-site </w:t>
      </w:r>
      <w:r>
        <w:rPr>
          <w:rFonts w:ascii="Consolas" w:hAnsi="Consolas"/>
        </w:rPr>
        <w:t>delta13C-CH4</w:t>
      </w:r>
      <w:r>
        <w:t xml:space="preserve"> and </w:t>
      </w:r>
      <w:r>
        <w:rPr>
          <w:rFonts w:ascii="Consolas" w:hAnsi="Consolas"/>
        </w:rPr>
        <w:t>deltaD-CH4</w:t>
      </w:r>
      <w:r>
        <w:t xml:space="preserve"> pairing is concentrated in 2005-2010, and some sites have sparse monthly coverage. Block bootstrap and yearly harmonic tests indicate that full-period harmonic uncertainties can be optimistic at sparse or low-amplitude sites. The Southern Hemisphere constraint should therefore be treated as a useful atmospheric constraint rather than a definitive exclusion of either laboratory value.</w:t>
      </w:r>
    </w:p>
    <w:p>
      <w:r>
        <w:t xml:space="preserve">Second, wetland source signatures remain uncertain. </w:t>
      </w:r>
      <w:r>
        <w:rPr>
          <w:rFonts w:ascii="Consolas" w:hAnsi="Consolas"/>
        </w:rPr>
        <w:t>deltaD-CH4</w:t>
      </w:r>
      <w:r>
        <w:t xml:space="preserve"> is strongly controlled by environmental water, pathway, and local hydrology, and </w:t>
      </w:r>
      <w:r>
        <w:rPr>
          <w:rFonts w:ascii="Consolas" w:hAnsi="Consolas"/>
        </w:rPr>
        <w:t>delta13C-CH4</w:t>
      </w:r>
      <w:r>
        <w:t xml:space="preserve"> has regional structure associated with wetland type and vegetation. The SI should therefore include the Ganesan et al. (2018) spatial </w:t>
      </w:r>
      <w:r>
        <w:rPr>
          <w:rFonts w:ascii="Consolas" w:hAnsi="Consolas"/>
        </w:rPr>
        <w:t>delta13C</w:t>
      </w:r>
      <w:r>
        <w:t xml:space="preserve"> wetland sensitivity and the Douglas et al. (2021) wetland </w:t>
      </w:r>
      <w:r>
        <w:rPr>
          <w:rFonts w:ascii="Consolas" w:hAnsi="Consolas"/>
        </w:rPr>
        <w:t>deltaD-CH4</w:t>
      </w:r>
      <w:r>
        <w:t xml:space="preserve"> alternatives.</w:t>
      </w:r>
    </w:p>
    <w:p>
      <w:r>
        <w:t>Third, the present wetland phasors are not atmospheric footprints. They are latitude-band emission phasors, not transport-model source-receptor functions. The mass-conserving Southern Hemisphere sensitivity tests show that plausible tropical and weak delayed high-latitude Northern Hemisphere response mixtures do not overturn the main interpretation. A future analysis using chemical transport model footprints or transit-time distributions would still be needed to replace these diagnostic response weights with physically constrained source-receptor functions.</w:t>
      </w:r>
    </w:p>
    <w:p>
      <w:r>
        <w:t>Finally, biomass burning and other non-wetland seasonal sources are only treated in the SI. This choice is deliberate: the main result does not require biomass burning to explain the Southern Hemisphere constraint, but northern residuals likely require additional seasonal source terms beyond wetlands.</w:t>
      </w:r>
    </w:p>
    <w:p>
      <w:pPr>
        <w:pStyle w:val="Heading2"/>
      </w:pPr>
      <w:r>
        <w:t>6. Conclusions</w:t>
      </w:r>
    </w:p>
    <w:p>
      <w:pPr>
        <w:pStyle w:val="ListBullet"/>
      </w:pPr>
      <w:r>
        <w:t xml:space="preserve">Co-located seasonal cycles of atmospheric </w:t>
      </w:r>
      <w:r>
        <w:rPr>
          <w:rFonts w:ascii="Consolas" w:hAnsi="Consolas"/>
        </w:rPr>
        <w:t>delta13C-CH4</w:t>
      </w:r>
      <w:r>
        <w:t xml:space="preserve"> and </w:t>
      </w:r>
      <w:r>
        <w:rPr>
          <w:rFonts w:ascii="Consolas" w:hAnsi="Consolas"/>
        </w:rPr>
        <w:t>deltaD-CH4</w:t>
      </w:r>
    </w:p>
    <w:p>
      <w:r>
        <w:t>can constrain the methane OH 13C kinetic isotope effect when source phasors are small or explicitly corrected.</w:t>
      </w:r>
    </w:p>
    <w:p>
      <w:pPr>
        <w:pStyle w:val="ListBullet"/>
      </w:pPr>
      <w:r>
        <w:t>Raw isotope amplitude ratios at Northern Hemisphere sites are far above</w:t>
      </w:r>
    </w:p>
    <w:p>
      <w:r>
        <w:t>pure-sink expectations, showing that seasonal source contamination must be handled before interpreting the ratios as KIE constraints.</w:t>
      </w:r>
    </w:p>
    <w:p>
      <w:pPr>
        <w:pStyle w:val="ListBullet"/>
      </w:pPr>
      <w:r>
        <w:t>Wetland source phasor correction substantially reduces northern ratios but</w:t>
      </w:r>
    </w:p>
    <w:p>
      <w:r>
        <w:t>does not fully remove residual source structure, so northern sites are best interpreted as source-seasonality diagnostics in the present analysis.</w:t>
      </w:r>
    </w:p>
    <w:p>
      <w:pPr>
        <w:pStyle w:val="ListBullet"/>
      </w:pPr>
      <w:r>
        <w:t>Southern Hemisphere sites provide the cleanest current atmospheric</w:t>
      </w:r>
    </w:p>
    <w:p>
      <w:r>
        <w:t xml:space="preserve">constraint: </w:t>
      </w:r>
      <w:r>
        <w:rPr>
          <w:rFonts w:ascii="Consolas" w:hAnsi="Consolas"/>
        </w:rPr>
        <w:t>alpha13C_OH = 1.0046 [0.9969, 1.0158]</w:t>
      </w:r>
      <w:r>
        <w:t>, consistent with both the Saueressig et al. (2001) and Cantrell et al. (1990) laboratory values.</w:t>
      </w:r>
    </w:p>
    <w:p>
      <w:pPr>
        <w:pStyle w:val="ListBullet"/>
      </w:pPr>
      <w:r>
        <w:t>Extending this approach will require longer paired isotope records, better</w:t>
      </w:r>
    </w:p>
    <w:p>
      <w:r>
        <w:t>wetland isotope source signatures, explicit treatment of non-wetland seasonal sources, and transport-informed source-region phasors.</w:t>
      </w:r>
    </w:p>
    <w:p>
      <w:pPr>
        <w:pStyle w:val="Heading2"/>
      </w:pPr>
      <w:r>
        <w:t>Data Availability</w:t>
      </w:r>
    </w:p>
    <w:p>
      <w:r>
        <w:t xml:space="preserve">NOAA GML surface-flask </w:t>
      </w:r>
      <w:r>
        <w:rPr>
          <w:rFonts w:ascii="Consolas" w:hAnsi="Consolas"/>
        </w:rPr>
        <w:t>CH4</w:t>
      </w:r>
      <w:r>
        <w:t xml:space="preserve"> dry-air mole fractions are available from the NOAA Global Monitoring Laboratory archive (Lan et al., 2025, DOI </w:t>
      </w:r>
      <w:r>
        <w:rPr>
          <w:rFonts w:ascii="Consolas" w:hAnsi="Consolas"/>
        </w:rPr>
        <w:t>10.15138/VNCZ-M766</w:t>
      </w:r>
      <w:r>
        <w:t xml:space="preserve">). NOAA/INSTAAR surface-flask </w:t>
      </w:r>
      <w:r>
        <w:rPr>
          <w:rFonts w:ascii="Consolas" w:hAnsi="Consolas"/>
        </w:rPr>
        <w:t>delta13C-CH4</w:t>
      </w:r>
      <w:r>
        <w:t xml:space="preserve"> measurements are available from Michel et al. (2023, version 2023-09-21, DOI </w:t>
      </w:r>
      <w:r>
        <w:rPr>
          <w:rFonts w:ascii="Consolas" w:hAnsi="Consolas"/>
        </w:rPr>
        <w:t>10.15138/9p89-1x02</w:t>
      </w:r>
      <w:r>
        <w:t xml:space="preserve">). Atmospheric </w:t>
      </w:r>
      <w:r>
        <w:rPr>
          <w:rFonts w:ascii="Consolas" w:hAnsi="Consolas"/>
        </w:rPr>
        <w:t>deltaD-CH4</w:t>
      </w:r>
      <w:r>
        <w:t xml:space="preserve"> observations were obtained from the NOAA GML archive record for Riddell-Young et al. (2025), DOI </w:t>
      </w:r>
      <w:r>
        <w:rPr>
          <w:rFonts w:ascii="Consolas" w:hAnsi="Consolas"/>
        </w:rPr>
        <w:t>10.15138/setb-jy31</w:t>
      </w:r>
      <w:r>
        <w:t>, and were harmonized following the laboratory-offset framework described by Riddell-Young et al. (2025) and Dasgupta et al. (2025). The NOAA archive requests appropriate citation of the data record and contact with the relevant data providers when these isotope measurements are central to a publication.</w:t>
      </w:r>
    </w:p>
    <w:p>
      <w:r>
        <w:t xml:space="preserve">Monthly gridded natural vegetated wetland methane emissions are available from Li et al. (2026), with data archived on Zenodo under DOI </w:t>
      </w:r>
      <w:r>
        <w:rPr>
          <w:rFonts w:ascii="Consolas" w:hAnsi="Consolas"/>
        </w:rPr>
        <w:t>10.5281/zenodo.18870108</w:t>
      </w:r>
      <w:r>
        <w:t>. Wetland methane isotope source-signature constraints use published values and relationships from Ganesan et al. (2018), Douglas et al. (2021), Waldron et al. (1999), Chanton et al. (2006), and Riddell-Young et al. (2025). OIPC v3.1 precipitation isotope estimates were accessed from the University of Utah OIPC service and should be cited through Bowen and Revenaugh (2003) and Bowen et al. (2005), with GNIP/IAEA-WMO as the underlying observational basis where applicable.</w:t>
      </w:r>
    </w:p>
    <w:p>
      <w:r>
        <w:t>The analysis code and derived tables/figures should be deposited in a permanent repository before submission, and the final repository DOI or archive link should be added to this paragraph.</w:t>
      </w:r>
    </w:p>
    <w:p>
      <w:pPr>
        <w:pStyle w:val="Heading2"/>
      </w:pPr>
      <w:r>
        <w:t>Supplementary Information Contents</w:t>
      </w:r>
    </w:p>
    <w:p>
      <w:r>
        <w:t>The accompanying SI draft includes:</w:t>
      </w:r>
    </w:p>
    <w:p>
      <w:pPr>
        <w:pStyle w:val="ListBullet"/>
      </w:pPr>
      <w:r>
        <w:t>Full data-screening and paired-month tables for all 12 sites.</w:t>
      </w:r>
    </w:p>
    <w:p>
      <w:pPr>
        <w:pStyle w:val="ListBullet"/>
      </w:pPr>
      <w:r>
        <w:t>Harmonic fit diagnostics and block-bootstrap sensitivity.</w:t>
      </w:r>
    </w:p>
    <w:p>
      <w:pPr>
        <w:pStyle w:val="ListBullet"/>
      </w:pPr>
      <w:r>
        <w:t>Full wetland source phasor construction, including latitude-band emissions.</w:t>
      </w:r>
    </w:p>
    <w:p>
      <w:pPr>
        <w:pStyle w:val="ListBullet"/>
      </w:pPr>
      <w:r>
        <w:t xml:space="preserve">Ganesan et al. (2018) spatial </w:t>
      </w:r>
      <w:r>
        <w:rPr>
          <w:rFonts w:ascii="Consolas" w:hAnsi="Consolas"/>
        </w:rPr>
        <w:t>delta13C_wetland</w:t>
      </w:r>
      <w:r>
        <w:t xml:space="preserve"> sensitivity.</w:t>
      </w:r>
    </w:p>
    <w:p>
      <w:pPr>
        <w:pStyle w:val="ListBullet"/>
      </w:pPr>
      <w:r>
        <w:t xml:space="preserve">Douglas/OIPC wetland </w:t>
      </w:r>
      <w:r>
        <w:rPr>
          <w:rFonts w:ascii="Consolas" w:hAnsi="Consolas"/>
        </w:rPr>
        <w:t>deltaD-CH4</w:t>
      </w:r>
      <w:r>
        <w:t xml:space="preserve"> sensitivity.</w:t>
      </w:r>
    </w:p>
    <w:p>
      <w:pPr>
        <w:pStyle w:val="ListBullet"/>
      </w:pPr>
      <w:r>
        <w:t>Riddell-Young SI Table S3 sink/KIE comparison and rerun/sensitivity logic.</w:t>
      </w:r>
    </w:p>
    <w:p>
      <w:pPr>
        <w:pStyle w:val="ListBullet"/>
      </w:pPr>
      <w:r>
        <w:t>Southern Hemisphere mass-conserving source-region sensitivity and additive</w:t>
      </w:r>
    </w:p>
    <w:p>
      <w:r>
        <w:t>transport stress tests.</w:t>
      </w:r>
    </w:p>
    <w:p>
      <w:pPr>
        <w:pStyle w:val="ListBullet"/>
      </w:pPr>
      <w:r>
        <w:t>Biomass burning phasor correction and interpretation.</w:t>
      </w:r>
    </w:p>
    <w:p>
      <w:pPr>
        <w:pStyle w:val="ListBullet"/>
      </w:pPr>
      <w:r>
        <w:t>OSSE tests showing how source phasors bias scalar amplitude-ratio KIE</w:t>
      </w:r>
    </w:p>
    <w:p>
      <w:r>
        <w:t>retrievals.</w:t>
      </w:r>
    </w:p>
    <w:p>
      <w:pPr>
        <w:pStyle w:val="Heading2"/>
      </w:pPr>
      <w:r>
        <w:t>Draft Figure List</w:t>
      </w:r>
    </w:p>
    <w:p>
      <w:r>
        <w:rPr>
          <w:b/>
        </w:rPr>
        <w:t>Figure 1. Raw seasonal isotope amplitude ratios and phase alignment.</w:t>
      </w:r>
      <w:r>
        <w:t xml:space="preserve"> File: </w:t>
      </w:r>
      <w:r>
        <w:rPr>
          <w:rFonts w:ascii="Consolas" w:hAnsi="Consolas"/>
        </w:rPr>
        <w:t>figures/manuscript/fig1_raw_ratio_phase.png</w:t>
      </w:r>
      <w:r>
        <w:t>.</w:t>
      </w:r>
    </w:p>
    <w:p>
      <w:r>
        <w:rPr>
          <w:b/>
        </w:rPr>
        <w:t>Figure 2. Local wetland correction and phase convergence.</w:t>
      </w:r>
      <w:r>
        <w:t xml:space="preserve"> Observed-to- corrected ratio shifts using corrected-ratio Monte Carlo medians and 95% intervals, fitted peak months, and </w:t>
      </w:r>
      <w:r>
        <w:rPr>
          <w:rFonts w:ascii="Consolas" w:hAnsi="Consolas"/>
        </w:rPr>
        <w:t>delta13C</w:t>
      </w:r>
      <w:r>
        <w:t>-</w:t>
      </w:r>
      <w:r>
        <w:rPr>
          <w:rFonts w:ascii="Consolas" w:hAnsi="Consolas"/>
        </w:rPr>
        <w:t>deltaD</w:t>
      </w:r>
      <w:r>
        <w:t xml:space="preserve"> phase differences before and after correction. File: </w:t>
      </w:r>
      <w:r>
        <w:rPr>
          <w:rFonts w:ascii="Consolas" w:hAnsi="Consolas"/>
        </w:rPr>
        <w:t>figures/manuscript/fig2_phase_convergence.png</w:t>
      </w:r>
      <w:r>
        <w:t>.</w:t>
      </w:r>
    </w:p>
    <w:p>
      <w:r>
        <w:rPr>
          <w:b/>
        </w:rPr>
        <w:t>Figure 3. Atmospheric OH 13C KIE constraint, mass-conserving source-region sensitivity, and uncertainty attribution.</w:t>
      </w:r>
      <w:r>
        <w:t xml:space="preserve"> The atmospheric constraints combine corrected-ratio Monte Carlo samples before conversion to </w:t>
      </w:r>
      <w:r>
        <w:rPr>
          <w:rFonts w:ascii="Consolas" w:hAnsi="Consolas"/>
        </w:rPr>
        <w:t>alpha13C_OH</w:t>
      </w:r>
      <w:r>
        <w:t xml:space="preserve">. File: </w:t>
      </w:r>
      <w:r>
        <w:rPr>
          <w:rFonts w:ascii="Consolas" w:hAnsi="Consolas"/>
        </w:rPr>
        <w:t>figures/manuscript/fig3_alpha_sensitivity_uncertainty.png</w:t>
      </w:r>
      <w:r>
        <w:t>.</w:t>
      </w:r>
    </w:p>
    <w:p>
      <w:pPr>
        <w:pStyle w:val="Heading2"/>
      </w:pPr>
      <w:r>
        <w:t>References</w:t>
      </w:r>
    </w:p>
    <w:p>
      <w:r>
        <w:t xml:space="preserve">Basu, S., et al. (2022). Estimating methane emissions from the global methane budget with atmospheric </w:t>
      </w:r>
      <w:r>
        <w:rPr>
          <w:rFonts w:ascii="Consolas" w:hAnsi="Consolas"/>
        </w:rPr>
        <w:t>delta13C-CH4</w:t>
      </w:r>
      <w:r>
        <w:t xml:space="preserve">. Atmospheric Chemistry and Physics, 22, 15351-15369. DOI </w:t>
      </w:r>
      <w:r>
        <w:rPr>
          <w:rFonts w:ascii="Consolas" w:hAnsi="Consolas"/>
        </w:rPr>
        <w:t>10.5194/acp-22-15351-2022</w:t>
      </w:r>
      <w:r>
        <w:t>.</w:t>
      </w:r>
    </w:p>
    <w:p>
      <w:r>
        <w:t xml:space="preserve">Bowen, G. J., and Revenaugh, J. (2003). Interpolating the isotopic composition of modern meteoric precipitation. Water Resources Research, 39, 1299. DOI </w:t>
      </w:r>
      <w:r>
        <w:rPr>
          <w:rFonts w:ascii="Consolas" w:hAnsi="Consolas"/>
        </w:rPr>
        <w:t>10.1029/2003WR002086</w:t>
      </w:r>
      <w:r>
        <w:t>.</w:t>
      </w:r>
    </w:p>
    <w:p>
      <w:r>
        <w:t xml:space="preserve">Bowen, G. J., Wassenaar, L. I., and Hobson, K. A. (2005). Global application of stable hydrogen and oxygen isotopes to wildlife forensics. Oecologia, 143, 337-348. DOI </w:t>
      </w:r>
      <w:r>
        <w:rPr>
          <w:rFonts w:ascii="Consolas" w:hAnsi="Consolas"/>
        </w:rPr>
        <w:t>10.1007/s00442-004-1813-y</w:t>
      </w:r>
      <w:r>
        <w:t>.</w:t>
      </w:r>
    </w:p>
    <w:p>
      <w:r>
        <w:t xml:space="preserve">Cantrell, C. A., et al. (1990). Carbon kinetic isotope effect in the oxidation of methane by the hydroxyl radical. Journal of Geophysical Research: Atmospheres, 95, 22455-22462. DOI </w:t>
      </w:r>
      <w:r>
        <w:rPr>
          <w:rFonts w:ascii="Consolas" w:hAnsi="Consolas"/>
        </w:rPr>
        <w:t>10.1029/JD095iD13p22455</w:t>
      </w:r>
      <w:r>
        <w:t>.</w:t>
      </w:r>
    </w:p>
    <w:p>
      <w:r>
        <w:t xml:space="preserve">Chanton, J. P., Fields, D., and Hines, M. E. (2006). Controls on the hydrogen isotopic composition of biogenic methane from high-latitude terrestrial wetlands. Journal of Geophysical Research: Biogeosciences, 111, G04004. DOI </w:t>
      </w:r>
      <w:r>
        <w:rPr>
          <w:rFonts w:ascii="Consolas" w:hAnsi="Consolas"/>
        </w:rPr>
        <w:t>10.1029/2005JG000134</w:t>
      </w:r>
      <w:r>
        <w:t>.</w:t>
      </w:r>
    </w:p>
    <w:p>
      <w:r>
        <w:t xml:space="preserve">Dasgupta, B., et al. (2025). Harmonisation of methane isotope ratio measurements from different laboratories using atmospheric samples. Atmospheric Measurement Techniques, 18, 6591-6615. DOI </w:t>
      </w:r>
      <w:r>
        <w:rPr>
          <w:rFonts w:ascii="Consolas" w:hAnsi="Consolas"/>
        </w:rPr>
        <w:t>10.5194/amt-18-6591-2025</w:t>
      </w:r>
      <w:r>
        <w:t>.</w:t>
      </w:r>
    </w:p>
    <w:p>
      <w:r>
        <w:t xml:space="preserve">Douglas, P. M. J., Stratigopoulos, E., Park, S., and Phan, D. (2021). Geographic variability in freshwater methane hydrogen isotope ratios and its implications for global isotopic source signatures. Biogeosciences, 18, 3505-3527. DOI </w:t>
      </w:r>
      <w:r>
        <w:rPr>
          <w:rFonts w:ascii="Consolas" w:hAnsi="Consolas"/>
        </w:rPr>
        <w:t>10.5194/bg-18-3505-2021</w:t>
      </w:r>
      <w:r>
        <w:t>.</w:t>
      </w:r>
    </w:p>
    <w:p>
      <w:r>
        <w:t xml:space="preserve">Dutaur, L., and Verchot, L. V. (2007). A global inventory of the soil </w:t>
      </w:r>
      <w:r>
        <w:rPr>
          <w:rFonts w:ascii="Consolas" w:hAnsi="Consolas"/>
        </w:rPr>
        <w:t>CH4</w:t>
      </w:r>
      <w:r>
        <w:t xml:space="preserve"> sink. Global Biogeochemical Cycles, 21, GB4013. DOI </w:t>
      </w:r>
      <w:r>
        <w:rPr>
          <w:rFonts w:ascii="Consolas" w:hAnsi="Consolas"/>
        </w:rPr>
        <w:t>10.1029/2006GB002734</w:t>
      </w:r>
      <w:r>
        <w:t>.</w:t>
      </w:r>
    </w:p>
    <w:p>
      <w:r>
        <w:t xml:space="preserve">Dyonisius, M. N., et al. (2020). Old carbon reservoirs were not important in the deglacial methane budget. Science, 367, 907-910. DOI </w:t>
      </w:r>
      <w:r>
        <w:rPr>
          <w:rFonts w:ascii="Consolas" w:hAnsi="Consolas"/>
        </w:rPr>
        <w:t>10.1126/science.aax0504</w:t>
      </w:r>
      <w:r>
        <w:t>.</w:t>
      </w:r>
    </w:p>
    <w:p>
      <w:r>
        <w:t xml:space="preserve">Ganesan, A. L., et al. (2018). Spatially resolved isotopic source signatures of wetland methane emissions. Geophysical Research Letters, 45, 3737-3745. DOI </w:t>
      </w:r>
      <w:r>
        <w:rPr>
          <w:rFonts w:ascii="Consolas" w:hAnsi="Consolas"/>
        </w:rPr>
        <w:t>10.1002/2018GL077536</w:t>
      </w:r>
      <w:r>
        <w:t>.</w:t>
      </w:r>
    </w:p>
    <w:p>
      <w:r>
        <w:t xml:space="preserve">Geller, L. S., Elkins, J. W., Lobert, J. M., Clarke, A. D., Hurst, D. F., Butler, J. H., and Myers, R. C. (1997). Tropospheric SF6: observed latitudinal distribution and trends, derived emissions and interhemispheric exchange time. Geophysical Research Letters, 24, 675-678. DOI </w:t>
      </w:r>
      <w:r>
        <w:rPr>
          <w:rFonts w:ascii="Consolas" w:hAnsi="Consolas"/>
        </w:rPr>
        <w:t>10.1029/97GL00523</w:t>
      </w:r>
      <w:r>
        <w:t>.</w:t>
      </w:r>
    </w:p>
    <w:p>
      <w:r>
        <w:t xml:space="preserve">Holzer, M., and Waugh, D. W. (2015). Interhemispheric transit-time distributions and path-dependent lifetimes constrained by measurements of SF6, CFCs, and CFC replacements. Geophysical Research Letters, 42. DOI </w:t>
      </w:r>
      <w:r>
        <w:rPr>
          <w:rFonts w:ascii="Consolas" w:hAnsi="Consolas"/>
        </w:rPr>
        <w:t>10.1002/2015GL064172</w:t>
      </w:r>
      <w:r>
        <w:t>.</w:t>
      </w:r>
    </w:p>
    <w:p>
      <w:r>
        <w:t xml:space="preserve">Hossaini, R., et al. (2016). A global model of tropospheric chlorine chemistry: organic versus inorganic sources and impact on methane oxidation. Journal of Geophysical Research: Atmospheres, 121, 14271-14297. DOI </w:t>
      </w:r>
      <w:r>
        <w:rPr>
          <w:rFonts w:ascii="Consolas" w:hAnsi="Consolas"/>
        </w:rPr>
        <w:t>10.1002/2016JD025756</w:t>
      </w:r>
      <w:r>
        <w:t>.</w:t>
      </w:r>
    </w:p>
    <w:p>
      <w:r>
        <w:t xml:space="preserve">Joelsson, L. M. T., Schmidt, J. A., Nilsson, E. J. K., Blunier, T., Griffith, D. W. T., Ono, S., and Johnson, M. S. (2016). Kinetic isotope effects of </w:t>
      </w:r>
      <w:r>
        <w:rPr>
          <w:rFonts w:ascii="Consolas" w:hAnsi="Consolas"/>
        </w:rPr>
        <w:t>12CH3D + OH</w:t>
      </w:r>
      <w:r>
        <w:t xml:space="preserve"> and </w:t>
      </w:r>
      <w:r>
        <w:rPr>
          <w:rFonts w:ascii="Consolas" w:hAnsi="Consolas"/>
        </w:rPr>
        <w:t>13CH3D + OH</w:t>
      </w:r>
      <w:r>
        <w:t xml:space="preserve"> from 278 to 313 K. Atmospheric Chemistry and Physics, 16, 4439-4449. DOI </w:t>
      </w:r>
      <w:r>
        <w:rPr>
          <w:rFonts w:ascii="Consolas" w:hAnsi="Consolas"/>
        </w:rPr>
        <w:t>10.5194/acp-16-4439-2016</w:t>
      </w:r>
      <w:r>
        <w:t>.</w:t>
      </w:r>
    </w:p>
    <w:p>
      <w:r>
        <w:t xml:space="preserve">King, S. L., Quay, P. D., and Lansdown, J. M. (1989). The </w:t>
      </w:r>
      <w:r>
        <w:rPr>
          <w:rFonts w:ascii="Consolas" w:hAnsi="Consolas"/>
        </w:rPr>
        <w:t>13C/12C</w:t>
      </w:r>
      <w:r>
        <w:t xml:space="preserve"> kinetic isotope effect for soil oxidation of methane at ambient atmospheric concentrations. Journal of Geophysical Research: Atmospheres, 94, 18273-18278. DOI </w:t>
      </w:r>
      <w:r>
        <w:rPr>
          <w:rFonts w:ascii="Consolas" w:hAnsi="Consolas"/>
        </w:rPr>
        <w:t>10.1029/JD094iD15p18273</w:t>
      </w:r>
      <w:r>
        <w:t>.</w:t>
      </w:r>
    </w:p>
    <w:p>
      <w:r>
        <w:t xml:space="preserve">Lan, X., et al. (2025). Atmospheric Methane Dry Air Mole Fractions from the NOAA GML Global Greenhouse Gas Reference Network, Carbon Cycle Cooperative Global Air Sampling Network: 1983-present. Version 2025-08-15. NOAA Global Monitoring Laboratory. DOI </w:t>
      </w:r>
      <w:r>
        <w:rPr>
          <w:rFonts w:ascii="Consolas" w:hAnsi="Consolas"/>
        </w:rPr>
        <w:t>10.15138/VNCZ-M766</w:t>
      </w:r>
      <w:r>
        <w:t>.</w:t>
      </w:r>
    </w:p>
    <w:p>
      <w:r>
        <w:t xml:space="preserve">Levin, I., and Hesshaimer, V. (1996). Refining of atmospheric transport model entries by the globally observed passive tracer distributions of </w:t>
      </w:r>
      <w:r>
        <w:rPr>
          <w:rFonts w:ascii="Consolas" w:hAnsi="Consolas"/>
        </w:rPr>
        <w:t>85Kr</w:t>
      </w:r>
      <w:r>
        <w:t xml:space="preserve"> and sulfur hexafluoride (</w:t>
      </w:r>
      <w:r>
        <w:rPr>
          <w:rFonts w:ascii="Consolas" w:hAnsi="Consolas"/>
        </w:rPr>
        <w:t>SF6</w:t>
      </w:r>
      <w:r>
        <w:t xml:space="preserve">). Journal of Geophysical Research: Atmospheres, 101, 16745-16755. DOI </w:t>
      </w:r>
      <w:r>
        <w:rPr>
          <w:rFonts w:ascii="Consolas" w:hAnsi="Consolas"/>
        </w:rPr>
        <w:t>10.1029/96JD01058</w:t>
      </w:r>
      <w:r>
        <w:t>.</w:t>
      </w:r>
    </w:p>
    <w:p>
      <w:r>
        <w:t xml:space="preserve">Li, H., et al. (2026). Machine-learning-based estimates of global natural vegetated wetland methane emissions for 2000-2025. Earth System Science Data, 18, 3507-3534. DOI </w:t>
      </w:r>
      <w:r>
        <w:rPr>
          <w:rFonts w:ascii="Consolas" w:hAnsi="Consolas"/>
        </w:rPr>
        <w:t>10.5194/essd-18-3507-2026</w:t>
      </w:r>
      <w:r>
        <w:t xml:space="preserve">. Data DOI </w:t>
      </w:r>
      <w:r>
        <w:rPr>
          <w:rFonts w:ascii="Consolas" w:hAnsi="Consolas"/>
        </w:rPr>
        <w:t>10.5281/zenodo.18870108</w:t>
      </w:r>
      <w:r>
        <w:t>.</w:t>
      </w:r>
    </w:p>
    <w:p>
      <w:r>
        <w:t xml:space="preserve">Michel, S. E., et al. (2023). Stable Isotopic Composition of Atmospheric Methane (13C) from the NOAA GML Carbon Cycle Cooperative Global Air Sampling Network, 1998-2022. Version 2023-09-21. DOI </w:t>
      </w:r>
      <w:r>
        <w:rPr>
          <w:rFonts w:ascii="Consolas" w:hAnsi="Consolas"/>
        </w:rPr>
        <w:t>10.15138/9p89-1x02</w:t>
      </w:r>
      <w:r>
        <w:t>.</w:t>
      </w:r>
    </w:p>
    <w:p>
      <w:r>
        <w:t xml:space="preserve">Montzka, S. A., Krol, M., Dlugokencky, E., Hall, B., Jockel, P., and Lelieveld, J. (2011). Small interannual variability of global atmospheric hydroxyl. Science, 331, 67-69. DOI </w:t>
      </w:r>
      <w:r>
        <w:rPr>
          <w:rFonts w:ascii="Consolas" w:hAnsi="Consolas"/>
        </w:rPr>
        <w:t>10.1126/science.1197640</w:t>
      </w:r>
      <w:r>
        <w:t>.</w:t>
      </w:r>
    </w:p>
    <w:p>
      <w:r>
        <w:t xml:space="preserve">Patra, P. K., et al. (2011). TransCom model simulations of </w:t>
      </w:r>
      <w:r>
        <w:rPr>
          <w:rFonts w:ascii="Consolas" w:hAnsi="Consolas"/>
        </w:rPr>
        <w:t>CH4</w:t>
      </w:r>
      <w:r>
        <w:t xml:space="preserve"> and related species: linking transport, surface flux and chemical loss with </w:t>
      </w:r>
      <w:r>
        <w:rPr>
          <w:rFonts w:ascii="Consolas" w:hAnsi="Consolas"/>
        </w:rPr>
        <w:t>CH4</w:t>
      </w:r>
      <w:r>
        <w:t xml:space="preserve"> variability in the troposphere and lower stratosphere. Atmospheric Chemistry and Physics, 11, 12813-12837. DOI </w:t>
      </w:r>
      <w:r>
        <w:rPr>
          <w:rFonts w:ascii="Consolas" w:hAnsi="Consolas"/>
        </w:rPr>
        <w:t>10.5194/acp-11-12813-2011</w:t>
      </w:r>
      <w:r>
        <w:t>.</w:t>
      </w:r>
    </w:p>
    <w:p>
      <w:r>
        <w:t xml:space="preserve">Riddell-Young, B., et al. (2025). Microbial driver of 2006-2023 CH4 growth indicated by trends in atmospheric </w:t>
      </w:r>
      <w:r>
        <w:rPr>
          <w:rFonts w:ascii="Consolas" w:hAnsi="Consolas"/>
        </w:rPr>
        <w:t>deltaD-CH4</w:t>
      </w:r>
      <w:r>
        <w:t xml:space="preserve"> and </w:t>
      </w:r>
      <w:r>
        <w:rPr>
          <w:rFonts w:ascii="Consolas" w:hAnsi="Consolas"/>
        </w:rPr>
        <w:t>delta13C-CH4</w:t>
      </w:r>
      <w:r>
        <w:t xml:space="preserve">. Proceedings of the National Academy of Sciences. DOI </w:t>
      </w:r>
      <w:r>
        <w:rPr>
          <w:rFonts w:ascii="Consolas" w:hAnsi="Consolas"/>
        </w:rPr>
        <w:t>10.1073/pnas.2516543122</w:t>
      </w:r>
      <w:r>
        <w:t xml:space="preserve">. NOAA data archive DOI </w:t>
      </w:r>
      <w:r>
        <w:rPr>
          <w:rFonts w:ascii="Consolas" w:hAnsi="Consolas"/>
        </w:rPr>
        <w:t>10.15138/setb-jy31</w:t>
      </w:r>
      <w:r>
        <w:t>.</w:t>
      </w:r>
    </w:p>
    <w:p>
      <w:r>
        <w:t xml:space="preserve">Saueressig, G., Bergamaschi, P., Crowley, J. N., Fischer, H., and Harris, G. (1996). D/H kinetic isotope effect in the reaction </w:t>
      </w:r>
      <w:r>
        <w:rPr>
          <w:rFonts w:ascii="Consolas" w:hAnsi="Consolas"/>
        </w:rPr>
        <w:t>CH4 + Cl</w:t>
      </w:r>
      <w:r>
        <w:t xml:space="preserve">. Geophysical Research Letters, 23, 3619-3622. DOI </w:t>
      </w:r>
      <w:r>
        <w:rPr>
          <w:rFonts w:ascii="Consolas" w:hAnsi="Consolas"/>
        </w:rPr>
        <w:t>10.1029/96GL03292</w:t>
      </w:r>
      <w:r>
        <w:t>.</w:t>
      </w:r>
    </w:p>
    <w:p>
      <w:r>
        <w:t xml:space="preserve">Saueressig, G., et al. (2001). Carbon 13 and D kinetic isotope effects in the reactions of CH4 with O(1D) and OH: new laboratory measurements and their implications for the isotopic composition of stratospheric methane. Journal of Geophysical Research: Atmospheres, 106, 23127-23138. DOI </w:t>
      </w:r>
      <w:r>
        <w:rPr>
          <w:rFonts w:ascii="Consolas" w:hAnsi="Consolas"/>
        </w:rPr>
        <w:t>10.1029/2000JD000120</w:t>
      </w:r>
      <w:r>
        <w:t>.</w:t>
      </w:r>
    </w:p>
    <w:p>
      <w:r>
        <w:t xml:space="preserve">Saunois, M., et al. (2020). The Global Methane Budget 2000-2017. Earth System Science Data, 12, 1561-1623. DOI </w:t>
      </w:r>
      <w:r>
        <w:rPr>
          <w:rFonts w:ascii="Consolas" w:hAnsi="Consolas"/>
        </w:rPr>
        <w:t>10.5194/essd-12-1561-2020</w:t>
      </w:r>
      <w:r>
        <w:t>.</w:t>
      </w:r>
    </w:p>
    <w:p>
      <w:r>
        <w:t xml:space="preserve">Saunois, M., et al. (2025). Global Methane Budget 2000-2020. Earth System Science Data, 17, 1873-1958. DOI </w:t>
      </w:r>
      <w:r>
        <w:rPr>
          <w:rFonts w:ascii="Consolas" w:hAnsi="Consolas"/>
        </w:rPr>
        <w:t>10.5194/essd-17-1873-2025</w:t>
      </w:r>
      <w:r>
        <w:t>.</w:t>
      </w:r>
    </w:p>
    <w:p>
      <w:r>
        <w:t xml:space="preserve">Sherwood, O. A., et al. (2017). Global inventory of gas geochemistry data from fossil fuel, microbial and burning sources, version 2017. Earth System Science Data, 9, 639-656. DOI </w:t>
      </w:r>
      <w:r>
        <w:rPr>
          <w:rFonts w:ascii="Consolas" w:hAnsi="Consolas"/>
        </w:rPr>
        <w:t>10.5194/essd-9-639-2017</w:t>
      </w:r>
      <w:r>
        <w:t xml:space="preserve">; data DOI </w:t>
      </w:r>
      <w:r>
        <w:rPr>
          <w:rFonts w:ascii="Consolas" w:hAnsi="Consolas"/>
        </w:rPr>
        <w:t>10.15138/G3201T</w:t>
      </w:r>
      <w:r>
        <w:t>.</w:t>
      </w:r>
    </w:p>
    <w:p>
      <w:r>
        <w:t xml:space="preserve">Snover, A. K., and Quay, P. D. (2000). Hydrogen and carbon kinetic isotope effects during soil uptake of atmospheric methane. Global Biogeochemical Cycles, 14, 25-39. DOI </w:t>
      </w:r>
      <w:r>
        <w:rPr>
          <w:rFonts w:ascii="Consolas" w:hAnsi="Consolas"/>
        </w:rPr>
        <w:t>10.1029/1999GB900089</w:t>
      </w:r>
      <w:r>
        <w:t>.</w:t>
      </w:r>
    </w:p>
    <w:p>
      <w:r>
        <w:t xml:space="preserve">Umezawa, T., et al. (2018). Interlaboratory comparison of </w:t>
      </w:r>
      <w:r>
        <w:rPr>
          <w:rFonts w:ascii="Consolas" w:hAnsi="Consolas"/>
        </w:rPr>
        <w:t>delta13C</w:t>
      </w:r>
      <w:r>
        <w:t xml:space="preserve"> and </w:t>
      </w:r>
      <w:r>
        <w:rPr>
          <w:rFonts w:ascii="Consolas" w:hAnsi="Consolas"/>
        </w:rPr>
        <w:t>deltaD</w:t>
      </w:r>
      <w:r>
        <w:t xml:space="preserve"> measurements of atmospheric </w:t>
      </w:r>
      <w:r>
        <w:rPr>
          <w:rFonts w:ascii="Consolas" w:hAnsi="Consolas"/>
        </w:rPr>
        <w:t>CH4</w:t>
      </w:r>
      <w:r>
        <w:t xml:space="preserve"> for combined use of data sets from different laboratories. Atmospheric Measurement Techniques, 11, 1207-1231. DOI </w:t>
      </w:r>
      <w:r>
        <w:rPr>
          <w:rFonts w:ascii="Consolas" w:hAnsi="Consolas"/>
        </w:rPr>
        <w:t>10.5194/amt-11-1207-2018</w:t>
      </w:r>
      <w:r>
        <w:t>.</w:t>
      </w:r>
    </w:p>
    <w:p>
      <w:r>
        <w:t xml:space="preserve">Waldron, S., Lansdown, J. M., Scott, E. M., Fallick, A. E., and Hall, A. J. (1999). The global influence of the hydrogen isotope composition of water on that of bacteriogenic methane from shallow freshwater environments. Geochimica et Cosmochimica Acta, 63, 2237-2245. DOI </w:t>
      </w:r>
      <w:r>
        <w:rPr>
          <w:rFonts w:ascii="Consolas" w:hAnsi="Consolas"/>
        </w:rPr>
        <w:t>10.1016/S0016-7037(99)00192-1</w:t>
      </w:r>
      <w:r>
        <w:t>.</w:t>
      </w:r>
    </w:p>
    <w:p>
      <w:r>
        <w:t xml:space="preserve">Whiticar, M. J. (1999). Carbon and hydrogen isotope systematics of bacterial formation and oxidation of methane. Chemical Geology, 161, 291-314. DOI </w:t>
      </w:r>
      <w:r>
        <w:rPr>
          <w:rFonts w:ascii="Consolas" w:hAnsi="Consolas"/>
        </w:rPr>
        <w:t>10.1016/S0009-2541(99)00092-3</w:t>
      </w:r>
      <w:r>
        <w:t>.</w:t>
      </w:r>
    </w:p>
    <w:p>
      <w:r>
        <w:t xml:space="preserve">Whiticar, M. J., Faber, E., and Schoell, M. (1986). Biogenic methane formation in marine and freshwater environments: </w:t>
      </w:r>
      <w:r>
        <w:rPr>
          <w:rFonts w:ascii="Consolas" w:hAnsi="Consolas"/>
        </w:rPr>
        <w:t>CO2</w:t>
      </w:r>
      <w:r>
        <w:t xml:space="preserve"> reduction vs. acetate fermentation--isotope evidence. Geochimica et Cosmochimica Acta, 50, 693-709. DOI </w:t>
      </w:r>
      <w:r>
        <w:rPr>
          <w:rFonts w:ascii="Consolas" w:hAnsi="Consolas"/>
        </w:rPr>
        <w:t>10.1016/0016-7037(86)90346-7</w:t>
      </w:r>
      <w:r>
        <w:t>.</w:t>
      </w:r>
    </w:p>
    <w:p>
      <w:r>
        <w:t xml:space="preserve">Whitehill, A. R., Joelsson, L. M. T., Schmidt, J. A., Wang, D. T., Johnson, M. S., and Ono, S. (2017). Clumped isotope effects during OH and Cl oxidation of methane. Geochimica et Cosmochimica Acta, 196, 307-325. DOI </w:t>
      </w:r>
      <w:r>
        <w:rPr>
          <w:rFonts w:ascii="Consolas" w:hAnsi="Consolas"/>
        </w:rPr>
        <w:t>10.1016/j.gca.2016.09.012</w:t>
      </w:r>
      <w:r>
        <w: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 Methane Isotope Phasors Constrain the Methane OH 13C Kinetic Isotope Effect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