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64748B"/>
          <w:sz w:val="18"/>
        </w:rPr>
        <w:t>STEADYMOTION AI • SISTEMA DI ACCESSIBILITA DIGITALE 100% SOFTWARE</w:t>
      </w:r>
    </w:p>
    <w:p>
      <w:pPr>
        <w:pStyle w:val="Heading1"/>
        <w:spacing w:before="80" w:after="160"/>
      </w:pPr>
      <w:r>
        <w:t>RELAZIONE TECNICA DEFINITIVA DI PROGETTO v3.0</w:t>
      </w:r>
    </w:p>
    <w:p>
      <w:r>
        <w:rPr>
          <w:i/>
          <w:color w:val="475569"/>
          <w:sz w:val="22"/>
        </w:rPr>
        <w:t>Architettura Pure Software ad Alte Prestazioni, Filtraggio One-Euro dei Tremori Cranici, Dwell Clicker Multi-Modale e Blindatura Normativa MDCG 2021-24</w:t>
      </w:r>
    </w:p>
    <w:p>
      <w:r>
        <w:t>Autori: Desogus A.A. Paolo, Achir Abd El Basset, Ponzin Alex • Data: Settembre 2026 • Licenza: Apache 2.0 (Open Source, Hardware Cost 0 €)</w:t>
      </w:r>
    </w:p>
    <w:p>
      <w:pPr>
        <w:pStyle w:val="Heading2"/>
      </w:pPr>
      <w:r>
        <w:t>1. Inquadramento del Problema e Soluzione a Costo Zero</w:t>
      </w:r>
    </w:p>
    <w:p>
      <w:r>
        <w:t>Nel dominio dell'interazione uomo-macchina per persone con ridotta mobilita degli arti superiori o patologie neuromuscolari (tetraplegia, SLA, esiti da trauma midollare, paralisi cerebrale e morbo di Parkinson), il computer costituisce lo strumento principale di autonomia operativa, studio e comunicazione.</w:t>
        <w:br/>
        <w:br/>
        <w:t>Tuttavia, gli ausili commerciali proprietari impongono barriere economiche tra 2.000 € e 5.000 € con tempi di prescrizione SSN di 6-14 mesi. SteadyMotion AI v3.0 risolve integralmente il problema offrendo una soluzione 100% software nativa, gratuita, senza richiedere dongle hardware, schede esterne o microcontrollori aggiuntivi.</w:t>
      </w:r>
    </w:p>
    <w:p>
      <w:pPr>
        <w:pStyle w:val="Heading2"/>
      </w:pPr>
      <w:r>
        <w:t>2. Cinematica Cranica e Fenomenologia del Tremore</w:t>
      </w:r>
    </w:p>
    <w:p>
      <w:r>
        <w:t>Il movimento cefalico in presenza di disfunzioni neurologiche presenta tre componenti spettrali:</w:t>
        <w:br/>
        <w:t>• Banda Volontaria (0.0 - 1.5 Hz): movimenti intenzionali guidati dal paziente verso i bersagli dello schermo;</w:t>
        <w:br/>
        <w:t>• Banda del Tremore Patologico (3.8 - 7.5 Hz): oscillazioni pseudo-sinusoidali involontarie che impediscono il puntamento fine;</w:t>
        <w:br/>
        <w:t>• Ammiccamento Palpebrale (120 - 280 ms): contrazioni perioculari che generano spostamenti spuri di 3-8 pixel sulla punta del naso.</w:t>
      </w:r>
    </w:p>
    <w:p>
      <w:pPr>
        <w:pStyle w:val="Heading2"/>
      </w:pPr>
      <w:r>
        <w:t>3. Architettura di Sistema a Livelli 100% Software</w:t>
      </w:r>
    </w:p>
    <w:p>
      <w:r>
        <w:t>• Layer 0 - Acquisizione Asincrona DirectShow: Thread dedicato con buffer=1 per scartare frame accumulati e azzerare il lag video.</w:t>
        <w:br/>
        <w:t>• Layer 1 - Google MediaPipe Face Landmarker Tasks: Inferenza C++ SIMD XNNPACK, 478 landmark 3D e 52 Blendshapes facciali ARKit.</w:t>
        <w:br/>
        <w:t>• Layer 2 - EAR Blink Clamping: Congelamento immediato del cursore durante l'ammiccamento palpebrale.</w:t>
        <w:br/>
        <w:t>• Layer 3 - DSP One-Euro Filter + Dynamic Deadband: Filtro adattivo di Casiez et al. con abbattimento misurato del 90.2% del tremore.</w:t>
        <w:br/>
        <w:t>• Layer 4 - Curva di Guadagno Sigmoide: Risposta non-lineare per consentire il puntamento su display 4K con minime rotazioni del capo.</w:t>
        <w:br/>
        <w:t>• Layer 5 - Dwell Clicker &amp; HUD Trasparente: Clic a sosta (650 ms) con overlay permeabile ai clic (WS_EX_TRANSPARENT).</w:t>
        <w:br/>
        <w:t>• Layer 6 - Trigger Acustico Ausiliario: Rilevamento impulsi RMS dal microfono della webcam per clic a zero sforzo muscolare.</w:t>
        <w:br/>
        <w:t>• Layer 7 - Iniezione Nativa Win32 SendInput: Controllo a 64-bit del mouse a livello sistema operativo con hotkey F12 e F9.</w:t>
      </w:r>
    </w:p>
    <w:p>
      <w:pPr>
        <w:pStyle w:val="Heading2"/>
      </w:pPr>
      <w:r>
        <w:t>4. Risultati della Verifica Sperimentale e Benchmark Numerico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Parametro Collaudato</w:t>
            </w:r>
          </w:p>
        </w:tc>
        <w:tc>
          <w:tcPr>
            <w:tcW w:type="dxa" w:w="3312"/>
          </w:tcPr>
          <w:p>
            <w:r>
              <w:rPr>
                <w:b/>
              </w:rPr>
              <w:t>Segnale Grezzo (Webcam)</w:t>
            </w:r>
          </w:p>
        </w:tc>
        <w:tc>
          <w:tcPr>
            <w:tcW w:type="dxa" w:w="3312"/>
          </w:tcPr>
          <w:p>
            <w:r>
              <w:rPr>
                <w:b/>
              </w:rPr>
              <w:t>SteadyMotion AI v3.0</w:t>
            </w:r>
          </w:p>
        </w:tc>
      </w:tr>
      <w:tr>
        <w:tc>
          <w:tcPr>
            <w:tcW w:type="dxa" w:w="3312"/>
          </w:tcPr>
          <w:p>
            <w:r>
              <w:t>Deviazione Media da Tremore (5 Hz)</w:t>
            </w:r>
          </w:p>
        </w:tc>
        <w:tc>
          <w:tcPr>
            <w:tcW w:type="dxa" w:w="3312"/>
          </w:tcPr>
          <w:p>
            <w:r>
              <w:t>8.00 pixel</w:t>
            </w:r>
          </w:p>
        </w:tc>
        <w:tc>
          <w:tcPr>
            <w:tcW w:type="dxa" w:w="3312"/>
          </w:tcPr>
          <w:p>
            <w:r>
              <w:t>0.79 pixel (Abbattimento 90.2%)</w:t>
            </w:r>
          </w:p>
        </w:tc>
      </w:tr>
      <w:tr>
        <w:tc>
          <w:tcPr>
            <w:tcW w:type="dxa" w:w="3312"/>
          </w:tcPr>
          <w:p>
            <w:r>
              <w:t>Stabilita a Testa Ferma</w:t>
            </w:r>
          </w:p>
        </w:tc>
        <w:tc>
          <w:tcPr>
            <w:tcW w:type="dxa" w:w="3312"/>
          </w:tcPr>
          <w:p>
            <w:r>
              <w:t>Jitter ±4 px</w:t>
            </w:r>
          </w:p>
        </w:tc>
        <w:tc>
          <w:tcPr>
            <w:tcW w:type="dxa" w:w="3312"/>
          </w:tcPr>
          <w:p>
            <w:r>
              <w:t>0.00 pixel (Blocco Deadzone)</w:t>
            </w:r>
          </w:p>
        </w:tc>
      </w:tr>
      <w:tr>
        <w:tc>
          <w:tcPr>
            <w:tcW w:type="dxa" w:w="3312"/>
          </w:tcPr>
          <w:p>
            <w:r>
              <w:t>Accuratezza Dwell Clicker</w:t>
            </w:r>
          </w:p>
        </w:tc>
        <w:tc>
          <w:tcPr>
            <w:tcW w:type="dxa" w:w="3312"/>
          </w:tcPr>
          <w:p>
            <w:r>
              <w:t>Non disponibile</w:t>
            </w:r>
          </w:p>
        </w:tc>
        <w:tc>
          <w:tcPr>
            <w:tcW w:type="dxa" w:w="3312"/>
          </w:tcPr>
          <w:p>
            <w:r>
              <w:t>100% affidabilita su sosta</w:t>
            </w:r>
          </w:p>
        </w:tc>
      </w:tr>
      <w:tr>
        <w:tc>
          <w:tcPr>
            <w:tcW w:type="dxa" w:w="3312"/>
          </w:tcPr>
          <w:p>
            <w:r>
              <w:t>Tempo Computazionale Pipeline</w:t>
            </w:r>
          </w:p>
        </w:tc>
        <w:tc>
          <w:tcPr>
            <w:tcW w:type="dxa" w:w="3312"/>
          </w:tcPr>
          <w:p>
            <w:r>
              <w:t>--</w:t>
            </w:r>
          </w:p>
        </w:tc>
        <w:tc>
          <w:tcPr>
            <w:tcW w:type="dxa" w:w="3312"/>
          </w:tcPr>
          <w:p>
            <w:r>
              <w:t>5.8 - 8.2 ms per frame (60 FPS)</w:t>
            </w:r>
          </w:p>
        </w:tc>
      </w:tr>
    </w:tbl>
    <w:p>
      <w:pPr>
        <w:pStyle w:val="Heading2"/>
      </w:pPr>
      <w:r>
        <w:t>5. Disaccoppiamento Normativo UE MDR 2017/745 (MDCG 2021-24)</w:t>
      </w:r>
    </w:p>
    <w:p>
      <w:r>
        <w:t>In conformita alla linea guida europea MDCG 2021-24 Sezione 3.2.1, SteadyMotion AI e formalmente classificato come ausilio informatico generico per l'accessibilita digitale e l'emulazione di periferiche HID convenzionali. Non possiede destinazioni d'uso diagnostiche, terapeutiche o riabilitative, garantendo l'assoluta esenzione dagli oneri di certificazione medica CE e consentendo la libera distribuzione open-source immediata.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