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580000" cy="7428619"/>
            <wp:docPr id="1" name="Picture 1"/>
            <wp:cNvGraphicFramePr>
              <a:graphicFrameLocks noChangeAspect="1"/>
            </wp:cNvGraphicFramePr>
            <a:graphic>
              <a:graphicData uri="http://schemas.openxmlformats.org/drawingml/2006/picture">
                <pic:pic>
                  <pic:nvPicPr>
                    <pic:cNvPr id="0" name="portada_2024.jpg"/>
                    <pic:cNvPicPr/>
                  </pic:nvPicPr>
                  <pic:blipFill>
                    <a:blip r:embed="rId11"/>
                    <a:stretch>
                      <a:fillRect/>
                    </a:stretch>
                  </pic:blipFill>
                  <pic:spPr>
                    <a:xfrm>
                      <a:off x="0" y="0"/>
                      <a:ext cx="5580000" cy="7428619"/>
                    </a:xfrm>
                    <a:prstGeom prst="rect"/>
                  </pic:spPr>
                </pic:pic>
              </a:graphicData>
            </a:graphic>
          </wp:inline>
        </w:drawing>
      </w:r>
    </w:p>
    <w:p>
      <w:pPr>
        <w:jc w:val="left"/>
      </w:pPr>
      <w:r>
        <w:rPr>
          <w:rFonts w:ascii="Calibri" w:hAnsi="Calibri" w:eastAsia="Calibri"/>
          <w:b/>
          <w:color w:val="00C4B4"/>
          <w:sz w:val="26"/>
        </w:rPr>
        <w:t>I N F O R M E   A N U A L</w:t>
      </w:r>
    </w:p>
    <w:p>
      <w:pPr>
        <w:jc w:val="left"/>
      </w:pPr>
      <w:r>
        <w:rPr>
          <w:rFonts w:ascii="Calibri" w:hAnsi="Calibri" w:eastAsia="Calibri"/>
          <w:b/>
          <w:color w:val="173D4C"/>
          <w:sz w:val="68"/>
        </w:rPr>
        <w:t>Calidad del Aire</w:t>
      </w:r>
    </w:p>
    <w:p>
      <w:pPr>
        <w:jc w:val="left"/>
      </w:pPr>
      <w:r>
        <w:rPr>
          <w:rFonts w:ascii="Calibri" w:hAnsi="Calibri" w:eastAsia="Calibri"/>
          <w:b/>
          <w:color w:val="00C4B4"/>
          <w:sz w:val="36"/>
        </w:rPr>
        <w:t>— Jalisco 2024 —</w:t>
      </w:r>
    </w:p>
    <w:p>
      <w:r>
        <w:rPr>
          <w:rFonts w:ascii="Calibri" w:hAnsi="Calibri" w:eastAsia="Calibri"/>
          <w:color w:val="6C8894"/>
          <w:sz w:val="18"/>
        </w:rPr>
        <w:t>Secretaría de Medio Ambiente y Desarrollo Territorial – SEMADET  ·  Publicación: Octubre 2025</w:t>
      </w:r>
    </w:p>
    <w:p>
      <w:r>
        <w:br w:type="page"/>
      </w:r>
    </w:p>
    <w:p>
      <w:pPr>
        <w:spacing w:after="0"/>
      </w:pPr>
      <w:r>
        <w:rPr>
          <w:rFonts w:ascii="Calibri" w:hAnsi="Calibri" w:eastAsia="Calibri"/>
          <w:b/>
          <w:i w:val="0"/>
          <w:color w:val="173D4C"/>
          <w:sz w:val="26"/>
        </w:rPr>
        <w:t>Paola Bauche Petersen</w:t>
      </w:r>
    </w:p>
    <w:p>
      <w:pPr>
        <w:spacing w:after="280"/>
      </w:pPr>
      <w:r>
        <w:rPr>
          <w:rFonts w:ascii="Calibri" w:hAnsi="Calibri" w:eastAsia="Calibri"/>
          <w:b w:val="0"/>
          <w:i w:val="0"/>
          <w:color w:val="6C8894"/>
          <w:sz w:val="21"/>
        </w:rPr>
        <w:t>Secretaria de Medio Ambiente y Desarrollo Territorial</w:t>
      </w:r>
    </w:p>
    <w:p>
      <w:pPr>
        <w:spacing w:after="0"/>
      </w:pPr>
      <w:r>
        <w:rPr>
          <w:rFonts w:ascii="Calibri" w:hAnsi="Calibri" w:eastAsia="Calibri"/>
          <w:b/>
          <w:i w:val="0"/>
          <w:color w:val="173D4C"/>
          <w:sz w:val="26"/>
        </w:rPr>
        <w:t>Karen de la Cabada Ruíz</w:t>
      </w:r>
    </w:p>
    <w:p>
      <w:pPr>
        <w:spacing w:after="280"/>
      </w:pPr>
      <w:r>
        <w:rPr>
          <w:rFonts w:ascii="Calibri" w:hAnsi="Calibri" w:eastAsia="Calibri"/>
          <w:b w:val="0"/>
          <w:i w:val="0"/>
          <w:color w:val="6C8894"/>
          <w:sz w:val="21"/>
        </w:rPr>
        <w:t>Directora General de Calidad del Aire</w:t>
      </w:r>
    </w:p>
    <w:p>
      <w:pPr>
        <w:spacing w:after="0"/>
      </w:pPr>
      <w:r>
        <w:rPr>
          <w:rFonts w:ascii="Calibri" w:hAnsi="Calibri" w:eastAsia="Calibri"/>
          <w:b/>
          <w:i w:val="0"/>
          <w:color w:val="173D4C"/>
          <w:sz w:val="26"/>
        </w:rPr>
        <w:t>Elizabeth Duran Chávez</w:t>
      </w:r>
    </w:p>
    <w:p>
      <w:pPr>
        <w:spacing w:after="280"/>
      </w:pPr>
      <w:r>
        <w:rPr>
          <w:rFonts w:ascii="Calibri" w:hAnsi="Calibri" w:eastAsia="Calibri"/>
          <w:b w:val="0"/>
          <w:i w:val="0"/>
          <w:color w:val="6C8894"/>
          <w:sz w:val="21"/>
        </w:rPr>
        <w:t>Directora de Gestión de la Calidad del Aire</w:t>
      </w:r>
    </w:p>
    <w:p>
      <w:pPr>
        <w:spacing w:after="0"/>
      </w:pPr>
      <w:r>
        <w:rPr>
          <w:rFonts w:ascii="Calibri" w:hAnsi="Calibri" w:eastAsia="Calibri"/>
          <w:b/>
          <w:i w:val="0"/>
          <w:color w:val="173D4C"/>
          <w:sz w:val="26"/>
        </w:rPr>
        <w:t>Nayeli Areli Perez Padilla</w:t>
      </w:r>
    </w:p>
    <w:p>
      <w:pPr>
        <w:spacing w:after="280"/>
      </w:pPr>
      <w:r>
        <w:rPr>
          <w:rFonts w:ascii="Calibri" w:hAnsi="Calibri" w:eastAsia="Calibri"/>
          <w:b w:val="0"/>
          <w:i w:val="0"/>
          <w:color w:val="6C8894"/>
          <w:sz w:val="21"/>
        </w:rPr>
        <w:t>Jefe de Centro Oficial de Medición</w:t>
      </w:r>
    </w:p>
    <w:p>
      <w:pPr>
        <w:spacing w:after="0"/>
      </w:pPr>
      <w:r>
        <w:rPr>
          <w:rFonts w:ascii="Calibri" w:hAnsi="Calibri" w:eastAsia="Calibri"/>
          <w:b/>
          <w:i w:val="0"/>
          <w:color w:val="173D4C"/>
          <w:sz w:val="26"/>
        </w:rPr>
        <w:t>Beatríz Rodríguez Perez</w:t>
      </w:r>
    </w:p>
    <w:p>
      <w:pPr>
        <w:spacing w:after="280"/>
      </w:pPr>
      <w:r>
        <w:rPr>
          <w:rFonts w:ascii="Calibri" w:hAnsi="Calibri" w:eastAsia="Calibri"/>
          <w:b w:val="0"/>
          <w:i w:val="0"/>
          <w:color w:val="6C8894"/>
          <w:sz w:val="21"/>
        </w:rPr>
        <w:t>Coordinador Especializado</w:t>
      </w:r>
    </w:p>
    <w:p>
      <w:pPr>
        <w:spacing w:after="0"/>
      </w:pPr>
      <w:r>
        <w:rPr>
          <w:rFonts w:ascii="Calibri" w:hAnsi="Calibri" w:eastAsia="Calibri"/>
          <w:b/>
          <w:i w:val="0"/>
          <w:color w:val="173D4C"/>
          <w:sz w:val="26"/>
        </w:rPr>
        <w:t>Ilse Regina Flores Reyes</w:t>
      </w:r>
    </w:p>
    <w:p>
      <w:pPr>
        <w:spacing w:after="280"/>
      </w:pPr>
      <w:r>
        <w:rPr>
          <w:rFonts w:ascii="Calibri" w:hAnsi="Calibri" w:eastAsia="Calibri"/>
          <w:b w:val="0"/>
          <w:i w:val="0"/>
          <w:color w:val="6C8894"/>
          <w:sz w:val="21"/>
        </w:rPr>
        <w:t>Técnico de Escuadrón Verde</w:t>
      </w:r>
    </w:p>
    <w:p>
      <w:r>
        <w:br w:type="page"/>
      </w:r>
    </w:p>
    <w:p>
      <w:pPr>
        <w:pStyle w:val="Heading1"/>
      </w:pPr>
      <w:r>
        <w:rPr>
          <w:rFonts w:ascii="Calibri" w:hAnsi="Calibri" w:eastAsia="Calibri"/>
          <w:b/>
          <w:i w:val="0"/>
          <w:color w:val="173D4C"/>
          <w:sz w:val="30"/>
        </w:rPr>
        <w:t>Introducción</w:t>
      </w:r>
    </w:p>
    <w:p>
      <w:pPr>
        <w:spacing w:after="160"/>
        <w:jc w:val="both"/>
      </w:pPr>
      <w:r>
        <w:rPr>
          <w:rFonts w:ascii="Calibri" w:hAnsi="Calibri" w:eastAsia="Calibri"/>
          <w:b w:val="0"/>
          <w:i w:val="0"/>
          <w:color w:val="324D59"/>
          <w:sz w:val="22"/>
        </w:rPr>
        <w:t>El Informe Anual de Calidad del Aire – Jalisco 2024 presenta un panorama de la calidad del aire registrada durante 2024 en el Área Metropolitana de Guadalajara (AMG), con base en los datos generados por el Sistema de Monitoreo Atmosférico de Jalisco (SIMAJ) y validados por el Instituto Nacional de Ecología y Cambio Climático (INECC).</w:t>
      </w:r>
    </w:p>
    <w:p>
      <w:pPr>
        <w:spacing w:after="160"/>
        <w:jc w:val="both"/>
      </w:pPr>
      <w:r>
        <w:rPr>
          <w:rFonts w:ascii="Calibri" w:hAnsi="Calibri" w:eastAsia="Calibri"/>
          <w:b w:val="0"/>
          <w:i w:val="0"/>
          <w:color w:val="324D59"/>
          <w:sz w:val="22"/>
        </w:rPr>
        <w:t>En este informe se analizan los contaminantes criterio monóxido de carbono (CO), dióxido de nitrógeno (NO</w:t>
      </w:r>
      <w:r>
        <w:rPr>
          <w:rFonts w:ascii="Calibri" w:hAnsi="Calibri" w:eastAsia="Calibri"/>
          <w:b w:val="0"/>
          <w:i w:val="0"/>
          <w:color w:val="324D59"/>
          <w:sz w:val="22"/>
          <w:vertAlign w:val="subscript"/>
        </w:rPr>
        <w:t>2</w:t>
      </w:r>
      <w:r>
        <w:rPr>
          <w:rFonts w:ascii="Calibri" w:hAnsi="Calibri" w:eastAsia="Calibri"/>
          <w:b w:val="0"/>
          <w:i w:val="0"/>
          <w:color w:val="324D59"/>
          <w:sz w:val="22"/>
        </w:rPr>
        <w:t>), ozono (O</w:t>
      </w:r>
      <w:r>
        <w:rPr>
          <w:rFonts w:ascii="Calibri" w:hAnsi="Calibri" w:eastAsia="Calibri"/>
          <w:b w:val="0"/>
          <w:i w:val="0"/>
          <w:color w:val="324D59"/>
          <w:sz w:val="22"/>
          <w:vertAlign w:val="subscript"/>
        </w:rPr>
        <w:t>3</w:t>
      </w:r>
      <w:r>
        <w:rPr>
          <w:rFonts w:ascii="Calibri" w:hAnsi="Calibri" w:eastAsia="Calibri"/>
          <w:b w:val="0"/>
          <w:i w:val="0"/>
          <w:color w:val="324D59"/>
          <w:sz w:val="22"/>
        </w:rPr>
        <w:t>), partículas PM</w:t>
      </w:r>
      <w:r>
        <w:rPr>
          <w:rFonts w:ascii="Calibri" w:hAnsi="Calibri" w:eastAsia="Calibri"/>
          <w:b w:val="0"/>
          <w:i w:val="0"/>
          <w:color w:val="324D59"/>
          <w:sz w:val="22"/>
          <w:vertAlign w:val="subscript"/>
        </w:rPr>
        <w:t>10</w:t>
      </w:r>
      <w:r>
        <w:rPr>
          <w:rFonts w:ascii="Calibri" w:hAnsi="Calibri" w:eastAsia="Calibri"/>
          <w:b w:val="0"/>
          <w:i w:val="0"/>
          <w:color w:val="324D59"/>
          <w:sz w:val="22"/>
        </w:rPr>
        <w:t xml:space="preserve"> y partículas PM</w:t>
      </w:r>
      <w:r>
        <w:rPr>
          <w:rFonts w:ascii="Calibri" w:hAnsi="Calibri" w:eastAsia="Calibri"/>
          <w:b w:val="0"/>
          <w:i w:val="0"/>
          <w:color w:val="324D59"/>
          <w:sz w:val="22"/>
          <w:vertAlign w:val="subscript"/>
        </w:rPr>
        <w:t>2.5</w:t>
      </w:r>
      <w:r>
        <w:rPr>
          <w:rFonts w:ascii="Calibri" w:hAnsi="Calibri" w:eastAsia="Calibri"/>
          <w:b w:val="0"/>
          <w:i w:val="0"/>
          <w:color w:val="324D59"/>
          <w:sz w:val="22"/>
        </w:rPr>
        <w:t>. Además, se presenta una evaluación de la calidad del aire basada en el cumplimiento de las Normas Oficiales Mexicanas y en el Índice Aire y Salud, así como un análisis del comportamiento de los principales contaminantes registrados en 2024.</w:t>
      </w:r>
    </w:p>
    <w:p>
      <w:pPr>
        <w:spacing w:after="160"/>
        <w:jc w:val="both"/>
      </w:pPr>
      <w:r>
        <w:rPr>
          <w:rFonts w:ascii="Calibri" w:hAnsi="Calibri" w:eastAsia="Calibri"/>
          <w:b w:val="0"/>
          <w:i w:val="0"/>
          <w:color w:val="324D59"/>
          <w:sz w:val="22"/>
        </w:rPr>
        <w:t>El propósito de este informe es presentar de manera clara y accesible la información sobre la calidad del aire, identificar los principales contaminantes que afectaron al AMG durante el año y proporcionar elementos que apoyen la toma de decisiones para proteger la salud de la población.</w:t>
      </w:r>
    </w:p>
    <w:p>
      <w:pPr>
        <w:pStyle w:val="Heading1"/>
      </w:pPr>
      <w:r>
        <w:rPr>
          <w:rFonts w:ascii="Calibri" w:hAnsi="Calibri" w:eastAsia="Calibri"/>
          <w:b/>
          <w:i w:val="0"/>
          <w:color w:val="173D4C"/>
          <w:sz w:val="30"/>
        </w:rPr>
        <w:t>Sistema de Monitoreo Atmosférico de Jalisco</w:t>
      </w:r>
    </w:p>
    <w:p>
      <w:pPr>
        <w:spacing w:after="160"/>
        <w:jc w:val="both"/>
      </w:pPr>
      <w:r>
        <w:rPr>
          <w:rFonts w:ascii="Calibri" w:hAnsi="Calibri" w:eastAsia="Calibri"/>
          <w:b w:val="0"/>
          <w:i w:val="0"/>
          <w:color w:val="324D59"/>
          <w:sz w:val="22"/>
        </w:rPr>
        <w:t>El Sistema de Monitoreo Atmosférico de Jalisco (SIMAJ) es la red estatal encargada de medir de manera continua la calidad del aire. Su operación se concentra en el AMG, donde se concentra aproximadamente el 63% de la población del estado, por lo que constituye el principal ámbito de cobertura del SIMAJ. La Figura 1 muestra la ubicación de las estaciones de monitoreo que conforman la red.</w:t>
      </w:r>
    </w:p>
    <w:p>
      <w:pPr>
        <w:keepNext/>
        <w:spacing w:before="160"/>
      </w:pPr>
      <w:r>
        <w:rPr>
          <w:rFonts w:ascii="Calibri" w:hAnsi="Calibri" w:eastAsia="Calibri"/>
          <w:b/>
          <w:i w:val="0"/>
          <w:color w:val="173D4C"/>
          <w:sz w:val="19"/>
        </w:rPr>
        <w:t>Figura 1. Ubicación de las estaciones de monitoreo que conforman el Sistema de Monitoreo Atmosférico de Jalisco (SIMAJ) en el Área Metropolitana de Guadalajara.</w:t>
      </w:r>
    </w:p>
    <w:p>
      <w:pPr>
        <w:jc w:val="center"/>
      </w:pPr>
      <w:r>
        <w:drawing>
          <wp:inline xmlns:a="http://schemas.openxmlformats.org/drawingml/2006/main" xmlns:pic="http://schemas.openxmlformats.org/drawingml/2006/picture">
            <wp:extent cx="5693328" cy="5188920"/>
            <wp:docPr id="2" name="Picture 2"/>
            <wp:cNvGraphicFramePr>
              <a:graphicFrameLocks noChangeAspect="1"/>
            </wp:cNvGraphicFramePr>
            <a:graphic>
              <a:graphicData uri="http://schemas.openxmlformats.org/drawingml/2006/picture">
                <pic:pic>
                  <pic:nvPicPr>
                    <pic:cNvPr id="0" name="red_monitoreo_2024.png"/>
                    <pic:cNvPicPr/>
                  </pic:nvPicPr>
                  <pic:blipFill>
                    <a:blip r:embed="rId12"/>
                    <a:stretch>
                      <a:fillRect/>
                    </a:stretch>
                  </pic:blipFill>
                  <pic:spPr>
                    <a:xfrm>
                      <a:off x="0" y="0"/>
                      <a:ext cx="5693328" cy="5188920"/>
                    </a:xfrm>
                    <a:prstGeom prst="rect"/>
                  </pic:spPr>
                </pic:pic>
              </a:graphicData>
            </a:graphic>
          </wp:inline>
        </w:drawing>
      </w:r>
    </w:p>
    <w:p>
      <w:pPr>
        <w:spacing w:after="160"/>
        <w:jc w:val="both"/>
      </w:pPr>
      <w:r>
        <w:rPr>
          <w:rFonts w:ascii="Calibri" w:hAnsi="Calibri" w:eastAsia="Calibri"/>
          <w:b w:val="0"/>
          <w:i w:val="0"/>
          <w:color w:val="324D59"/>
          <w:sz w:val="22"/>
        </w:rPr>
        <w:t>Las estaciones del SIMAJ registran de manera continua los contaminantes criterio (CO, NO</w:t>
      </w:r>
      <w:r>
        <w:rPr>
          <w:rFonts w:ascii="Calibri" w:hAnsi="Calibri" w:eastAsia="Calibri"/>
          <w:b w:val="0"/>
          <w:i w:val="0"/>
          <w:color w:val="324D59"/>
          <w:sz w:val="22"/>
          <w:vertAlign w:val="subscript"/>
        </w:rPr>
        <w:t>2</w:t>
      </w:r>
      <w:r>
        <w:rPr>
          <w:rFonts w:ascii="Calibri" w:hAnsi="Calibri" w:eastAsia="Calibri"/>
          <w:b w:val="0"/>
          <w:i w:val="0"/>
          <w:color w:val="324D59"/>
          <w:sz w:val="22"/>
        </w:rPr>
        <w:t>, SO</w:t>
      </w:r>
      <w:r>
        <w:rPr>
          <w:rFonts w:ascii="Calibri" w:hAnsi="Calibri" w:eastAsia="Calibri"/>
          <w:b w:val="0"/>
          <w:i w:val="0"/>
          <w:color w:val="324D59"/>
          <w:sz w:val="22"/>
          <w:vertAlign w:val="subscript"/>
        </w:rPr>
        <w:t>2</w:t>
      </w:r>
      <w:r>
        <w:rPr>
          <w:rFonts w:ascii="Calibri" w:hAnsi="Calibri" w:eastAsia="Calibri"/>
          <w:b w:val="0"/>
          <w:i w:val="0"/>
          <w:color w:val="324D59"/>
          <w:sz w:val="22"/>
        </w:rPr>
        <w:t>, O</w:t>
      </w:r>
      <w:r>
        <w:rPr>
          <w:rFonts w:ascii="Calibri" w:hAnsi="Calibri" w:eastAsia="Calibri"/>
          <w:b w:val="0"/>
          <w:i w:val="0"/>
          <w:color w:val="324D59"/>
          <w:sz w:val="22"/>
          <w:vertAlign w:val="subscript"/>
        </w:rPr>
        <w:t>3</w:t>
      </w:r>
      <w:r>
        <w:rPr>
          <w:rFonts w:ascii="Calibri" w:hAnsi="Calibri" w:eastAsia="Calibri"/>
          <w:b w:val="0"/>
          <w:i w:val="0"/>
          <w:color w:val="324D59"/>
          <w:sz w:val="22"/>
        </w:rPr>
        <w:t>, PM</w:t>
      </w:r>
      <w:r>
        <w:rPr>
          <w:rFonts w:ascii="Calibri" w:hAnsi="Calibri" w:eastAsia="Calibri"/>
          <w:b w:val="0"/>
          <w:i w:val="0"/>
          <w:color w:val="324D59"/>
          <w:sz w:val="22"/>
          <w:vertAlign w:val="subscript"/>
        </w:rPr>
        <w:t>10</w:t>
      </w:r>
      <w:r>
        <w:rPr>
          <w:rFonts w:ascii="Calibri" w:hAnsi="Calibri" w:eastAsia="Calibri"/>
          <w:b w:val="0"/>
          <w:i w:val="0"/>
          <w:color w:val="324D59"/>
          <w:sz w:val="22"/>
        </w:rPr>
        <w:t xml:space="preserve"> y PM</w:t>
      </w:r>
      <w:r>
        <w:rPr>
          <w:rFonts w:ascii="Calibri" w:hAnsi="Calibri" w:eastAsia="Calibri"/>
          <w:b w:val="0"/>
          <w:i w:val="0"/>
          <w:color w:val="324D59"/>
          <w:sz w:val="22"/>
          <w:vertAlign w:val="subscript"/>
        </w:rPr>
        <w:t>2.5</w:t>
      </w:r>
      <w:r>
        <w:rPr>
          <w:rFonts w:ascii="Calibri" w:hAnsi="Calibri" w:eastAsia="Calibri"/>
          <w:b w:val="0"/>
          <w:i w:val="0"/>
          <w:color w:val="324D59"/>
          <w:sz w:val="22"/>
        </w:rPr>
        <w:t>), además de variables meteorológicas que ayudan a interpretar el comportamiento de la contaminación atmosférica. La información se actualiza cada hora y está disponible para consulta pública en el portal oficial www.aire.jalisco.gob.mx y en el Sistema Nacional de Información de la Calidad del Aire (SINAICA).</w:t>
      </w:r>
    </w:p>
    <w:p>
      <w:pPr>
        <w:spacing w:after="160"/>
        <w:jc w:val="both"/>
      </w:pPr>
      <w:r>
        <w:rPr>
          <w:rFonts w:ascii="Calibri" w:hAnsi="Calibri" w:eastAsia="Calibri"/>
          <w:b w:val="0"/>
          <w:i w:val="0"/>
          <w:color w:val="324D59"/>
          <w:sz w:val="22"/>
        </w:rPr>
        <w:t>Durante el primer semestre de 2024, la red operó con diez estaciones de monitoreo. Como parte del programa de modernización del SIMAJ, en septiembre se incorporaron tres nuevas estaciones: Country (Guadalajara), Santa Margarita (Zapopan) y Santa Anita (Tlajomulco de Zúñiga), alcanzando un total de trece estaciones en operación al cierre del año. La Tabla 1 presenta la ubicación y el área de influencia de cada estación, mientras que la Tabla 2 muestra los contaminantes monitoreados en cada una de ellas.</w:t>
      </w:r>
    </w:p>
    <w:p>
      <w:pPr>
        <w:keepNext/>
        <w:spacing w:before="160"/>
      </w:pPr>
      <w:r>
        <w:rPr>
          <w:rFonts w:ascii="Calibri" w:hAnsi="Calibri" w:eastAsia="Calibri"/>
          <w:b/>
          <w:i w:val="0"/>
          <w:color w:val="173D4C"/>
          <w:sz w:val="19"/>
        </w:rPr>
        <w:t>Tabla 1. Estaciones de monitoreo atmosférico del SIMAJ y su área de influencia.</w:t>
      </w:r>
    </w:p>
    <w:tbl>
      <w:tblPr>
        <w:tblW w:type="auto" w:w="0"/>
        <w:jc w:val="center"/>
        <w:tblLayout w:type="fixed"/>
        <w:tblLook w:firstColumn="1" w:firstRow="1" w:lastColumn="0" w:lastRow="0" w:noHBand="0" w:noVBand="1" w:val="04A0"/>
        <w:tblBorders>
          <w:top w:val="single" w:sz="4" w:space="0" w:color="D7DEE1"/>
          <w:left w:val="single" w:sz="4" w:space="0" w:color="D7DEE1"/>
          <w:bottom w:val="single" w:sz="4" w:space="0" w:color="D7DEE1"/>
          <w:right w:val="single" w:sz="4" w:space="0" w:color="D7DEE1"/>
          <w:insideH w:val="single" w:sz="4" w:space="0" w:color="D7DEE1"/>
          <w:insideV w:val="single" w:sz="4" w:space="0" w:color="D7DEE1"/>
        </w:tblBorders>
      </w:tblPr>
      <w:tblGrid>
        <w:gridCol w:w="2436"/>
        <w:gridCol w:w="2436"/>
        <w:gridCol w:w="2436"/>
        <w:gridCol w:w="2436"/>
      </w:tblGrid>
      <w:tr>
        <w:trPr>
          <w:tblHeader/>
          <w:cantSplit/>
        </w:trPr>
        <w:tc>
          <w:tcPr>
            <w:tcW w:type="dxa" w:w="1852"/>
            <w:shd w:val="clear" w:color="auto" w:fill="173D4C"/>
          </w:tcPr>
          <w:p>
            <w:pPr>
              <w:keepNext/>
              <w:spacing w:after="0"/>
              <w:jc w:val="center"/>
            </w:pPr>
            <w:r>
              <w:rPr>
                <w:rFonts w:ascii="Calibri" w:hAnsi="Calibri" w:eastAsia="Calibri"/>
                <w:b/>
                <w:i w:val="0"/>
                <w:color w:val="FFFFFF"/>
                <w:sz w:val="16"/>
              </w:rPr>
              <w:t>Municipio</w:t>
            </w:r>
          </w:p>
        </w:tc>
        <w:tc>
          <w:tcPr>
            <w:tcW w:type="dxa" w:w="3898"/>
            <w:shd w:val="clear" w:color="auto" w:fill="173D4C"/>
          </w:tcPr>
          <w:p>
            <w:pPr>
              <w:keepNext/>
              <w:spacing w:after="0"/>
              <w:jc w:val="center"/>
            </w:pPr>
            <w:r>
              <w:rPr>
                <w:rFonts w:ascii="Calibri" w:hAnsi="Calibri" w:eastAsia="Calibri"/>
                <w:b/>
                <w:i w:val="0"/>
                <w:color w:val="FFFFFF"/>
                <w:sz w:val="16"/>
              </w:rPr>
              <w:t>Área de influencia</w:t>
            </w:r>
          </w:p>
        </w:tc>
        <w:tc>
          <w:tcPr>
            <w:tcW w:type="dxa" w:w="2631"/>
            <w:shd w:val="clear" w:color="auto" w:fill="173D4C"/>
          </w:tcPr>
          <w:p>
            <w:pPr>
              <w:keepNext/>
              <w:spacing w:after="0"/>
              <w:jc w:val="center"/>
            </w:pPr>
            <w:r>
              <w:rPr>
                <w:rFonts w:ascii="Calibri" w:hAnsi="Calibri" w:eastAsia="Calibri"/>
                <w:b/>
                <w:i w:val="0"/>
                <w:color w:val="FFFFFF"/>
                <w:sz w:val="16"/>
              </w:rPr>
              <w:t>Estación de monitoreo</w:t>
            </w:r>
          </w:p>
        </w:tc>
        <w:tc>
          <w:tcPr>
            <w:tcW w:type="dxa" w:w="1364"/>
            <w:shd w:val="clear" w:color="auto" w:fill="173D4C"/>
          </w:tcPr>
          <w:p>
            <w:pPr>
              <w:keepNext/>
              <w:spacing w:after="0"/>
              <w:jc w:val="center"/>
            </w:pPr>
            <w:r>
              <w:rPr>
                <w:rFonts w:ascii="Calibri" w:hAnsi="Calibri" w:eastAsia="Calibri"/>
                <w:b/>
                <w:i w:val="0"/>
                <w:color w:val="FFFFFF"/>
                <w:sz w:val="16"/>
              </w:rPr>
              <w:t>Símbolo</w:t>
            </w:r>
          </w:p>
        </w:tc>
      </w:tr>
      <w:tr>
        <w:tc>
          <w:tcPr>
            <w:tcW w:type="dxa" w:w="1852"/>
          </w:tcPr>
          <w:p>
            <w:pPr>
              <w:spacing w:after="0"/>
            </w:pPr>
            <w:r>
              <w:rPr>
                <w:rFonts w:ascii="Calibri" w:hAnsi="Calibri" w:eastAsia="Calibri"/>
                <w:b w:val="0"/>
                <w:i w:val="0"/>
                <w:color w:val="324D59"/>
                <w:sz w:val="16"/>
              </w:rPr>
              <w:t>San Pedro Tlaquepaque</w:t>
            </w:r>
          </w:p>
        </w:tc>
        <w:tc>
          <w:tcPr>
            <w:tcW w:type="dxa" w:w="3898"/>
          </w:tcPr>
          <w:p>
            <w:pPr>
              <w:spacing w:after="0"/>
            </w:pPr>
            <w:r>
              <w:rPr>
                <w:rFonts w:ascii="Calibri" w:hAnsi="Calibri" w:eastAsia="Calibri"/>
                <w:b w:val="0"/>
                <w:i w:val="0"/>
                <w:color w:val="324D59"/>
                <w:sz w:val="16"/>
              </w:rPr>
              <w:t>San Pedro Tlaquepaque y Guadalajara</w:t>
            </w:r>
          </w:p>
        </w:tc>
        <w:tc>
          <w:tcPr>
            <w:tcW w:type="dxa" w:w="2631"/>
          </w:tcPr>
          <w:p>
            <w:pPr>
              <w:spacing w:after="0"/>
            </w:pPr>
            <w:r>
              <w:rPr>
                <w:rFonts w:ascii="Calibri" w:hAnsi="Calibri" w:eastAsia="Calibri"/>
                <w:b w:val="0"/>
                <w:i w:val="0"/>
                <w:color w:val="324D59"/>
                <w:sz w:val="16"/>
              </w:rPr>
              <w:t>Tlaquepaque</w:t>
            </w:r>
          </w:p>
        </w:tc>
        <w:tc>
          <w:tcPr>
            <w:tcW w:type="dxa" w:w="1364"/>
          </w:tcPr>
          <w:p>
            <w:pPr>
              <w:spacing w:after="0"/>
              <w:jc w:val="center"/>
            </w:pPr>
            <w:r>
              <w:rPr>
                <w:rFonts w:ascii="Calibri" w:hAnsi="Calibri" w:eastAsia="Calibri"/>
                <w:b w:val="0"/>
                <w:i w:val="0"/>
                <w:color w:val="324D59"/>
                <w:sz w:val="16"/>
              </w:rPr>
              <w:t>TLA</w:t>
            </w:r>
          </w:p>
        </w:tc>
      </w:tr>
      <w:tr>
        <w:tc>
          <w:tcPr>
            <w:tcW w:type="dxa" w:w="1852"/>
            <w:shd w:val="clear" w:color="auto" w:fill="E3E9EC"/>
          </w:tcPr>
          <w:p>
            <w:pPr>
              <w:spacing w:after="0"/>
            </w:pPr>
            <w:r>
              <w:rPr>
                <w:rFonts w:ascii="Calibri" w:hAnsi="Calibri" w:eastAsia="Calibri"/>
                <w:b w:val="0"/>
                <w:i w:val="0"/>
                <w:color w:val="324D59"/>
                <w:sz w:val="16"/>
              </w:rPr>
              <w:t>El Salto</w:t>
            </w:r>
          </w:p>
        </w:tc>
        <w:tc>
          <w:tcPr>
            <w:tcW w:type="dxa" w:w="3898"/>
            <w:shd w:val="clear" w:color="auto" w:fill="E3E9EC"/>
          </w:tcPr>
          <w:p>
            <w:pPr>
              <w:spacing w:after="0"/>
            </w:pPr>
            <w:r>
              <w:rPr>
                <w:rFonts w:ascii="Calibri" w:hAnsi="Calibri" w:eastAsia="Calibri"/>
                <w:b w:val="0"/>
                <w:i w:val="0"/>
                <w:color w:val="324D59"/>
                <w:sz w:val="16"/>
              </w:rPr>
              <w:t>El Salto, San Pedro Tlaquepaque y Tlajomulco de Zúñiga</w:t>
            </w:r>
          </w:p>
        </w:tc>
        <w:tc>
          <w:tcPr>
            <w:tcW w:type="dxa" w:w="2631"/>
            <w:shd w:val="clear" w:color="auto" w:fill="E3E9EC"/>
          </w:tcPr>
          <w:p>
            <w:pPr>
              <w:spacing w:after="0"/>
            </w:pPr>
            <w:r>
              <w:rPr>
                <w:rFonts w:ascii="Calibri" w:hAnsi="Calibri" w:eastAsia="Calibri"/>
                <w:b w:val="0"/>
                <w:i w:val="0"/>
                <w:color w:val="324D59"/>
                <w:sz w:val="16"/>
              </w:rPr>
              <w:t>Pintas</w:t>
            </w:r>
          </w:p>
        </w:tc>
        <w:tc>
          <w:tcPr>
            <w:tcW w:type="dxa" w:w="1364"/>
            <w:shd w:val="clear" w:color="auto" w:fill="E3E9EC"/>
          </w:tcPr>
          <w:p>
            <w:pPr>
              <w:spacing w:after="0"/>
              <w:jc w:val="center"/>
            </w:pPr>
            <w:r>
              <w:rPr>
                <w:rFonts w:ascii="Calibri" w:hAnsi="Calibri" w:eastAsia="Calibri"/>
                <w:b w:val="0"/>
                <w:i w:val="0"/>
                <w:color w:val="324D59"/>
                <w:sz w:val="16"/>
              </w:rPr>
              <w:t>PIN</w:t>
            </w:r>
          </w:p>
        </w:tc>
      </w:tr>
      <w:tr>
        <w:tc>
          <w:tcPr>
            <w:tcW w:type="dxa" w:w="1852"/>
            <w:vMerge w:val="restart"/>
          </w:tcPr>
          <w:p>
            <w:pPr>
              <w:spacing w:after="0"/>
            </w:pPr>
            <w:r>
              <w:rPr>
                <w:rFonts w:ascii="Calibri" w:hAnsi="Calibri" w:eastAsia="Calibri"/>
                <w:b w:val="0"/>
                <w:i w:val="0"/>
                <w:color w:val="324D59"/>
                <w:sz w:val="16"/>
              </w:rPr>
              <w:t>Guadalajara</w:t>
            </w:r>
          </w:p>
          <w:p>
            <w:pPr>
              <w:spacing w:after="0"/>
            </w:pPr>
            <w:r>
              <w:rPr>
                <w:rFonts w:ascii="Calibri" w:hAnsi="Calibri" w:eastAsia="Calibri"/>
                <w:b w:val="0"/>
                <w:i w:val="0"/>
                <w:color w:val="324D59"/>
                <w:sz w:val="16"/>
              </w:rPr>
              <w:t>Guadalajara</w:t>
            </w:r>
          </w:p>
          <w:p>
            <w:pPr>
              <w:spacing w:after="0"/>
            </w:pPr>
            <w:r>
              <w:rPr>
                <w:rFonts w:ascii="Calibri" w:hAnsi="Calibri" w:eastAsia="Calibri"/>
                <w:b w:val="0"/>
                <w:i w:val="0"/>
                <w:color w:val="324D59"/>
                <w:sz w:val="16"/>
              </w:rPr>
              <w:t>Guadalajara</w:t>
            </w:r>
          </w:p>
          <w:p>
            <w:pPr>
              <w:spacing w:after="0"/>
            </w:pPr>
            <w:r>
              <w:rPr>
                <w:rFonts w:ascii="Calibri" w:hAnsi="Calibri" w:eastAsia="Calibri"/>
                <w:b w:val="0"/>
                <w:i w:val="0"/>
                <w:color w:val="324D59"/>
                <w:sz w:val="16"/>
              </w:rPr>
              <w:t>Guadalajara</w:t>
            </w:r>
          </w:p>
        </w:tc>
        <w:tc>
          <w:tcPr>
            <w:tcW w:type="dxa" w:w="3898"/>
          </w:tcPr>
          <w:p>
            <w:pPr>
              <w:spacing w:after="0"/>
            </w:pPr>
            <w:r>
              <w:rPr>
                <w:rFonts w:ascii="Calibri" w:hAnsi="Calibri" w:eastAsia="Calibri"/>
                <w:b w:val="0"/>
                <w:i w:val="0"/>
                <w:color w:val="324D59"/>
                <w:sz w:val="16"/>
              </w:rPr>
              <w:t>Guadalajara</w:t>
            </w:r>
          </w:p>
        </w:tc>
        <w:tc>
          <w:tcPr>
            <w:tcW w:type="dxa" w:w="2631"/>
          </w:tcPr>
          <w:p>
            <w:pPr>
              <w:spacing w:after="0"/>
            </w:pPr>
            <w:r>
              <w:rPr>
                <w:rFonts w:ascii="Calibri" w:hAnsi="Calibri" w:eastAsia="Calibri"/>
                <w:b w:val="0"/>
                <w:i w:val="0"/>
                <w:color w:val="324D59"/>
                <w:sz w:val="16"/>
              </w:rPr>
              <w:t>Centro</w:t>
            </w:r>
          </w:p>
        </w:tc>
        <w:tc>
          <w:tcPr>
            <w:tcW w:type="dxa" w:w="1364"/>
          </w:tcPr>
          <w:p>
            <w:pPr>
              <w:spacing w:after="0"/>
              <w:jc w:val="center"/>
            </w:pPr>
            <w:r>
              <w:rPr>
                <w:rFonts w:ascii="Calibri" w:hAnsi="Calibri" w:eastAsia="Calibri"/>
                <w:b w:val="0"/>
                <w:i w:val="0"/>
                <w:color w:val="324D59"/>
                <w:sz w:val="16"/>
              </w:rPr>
              <w:t>CEN</w:t>
            </w:r>
          </w:p>
        </w:tc>
      </w:tr>
      <w:tr>
        <w:tc>
          <w:tcPr>
            <w:tcW w:type="dxa" w:w="1852"/>
            <w:vMerge/>
          </w:tcPr>
          <w:p/>
        </w:tc>
        <w:tc>
          <w:tcPr>
            <w:tcW w:type="dxa" w:w="3898"/>
          </w:tcPr>
          <w:p>
            <w:pPr>
              <w:spacing w:after="0"/>
            </w:pPr>
            <w:r>
              <w:rPr>
                <w:rFonts w:ascii="Calibri" w:hAnsi="Calibri" w:eastAsia="Calibri"/>
                <w:b w:val="0"/>
                <w:i w:val="0"/>
                <w:color w:val="324D59"/>
                <w:sz w:val="16"/>
              </w:rPr>
              <w:t>Zapopan y Guadalajara</w:t>
            </w:r>
          </w:p>
        </w:tc>
        <w:tc>
          <w:tcPr>
            <w:tcW w:type="dxa" w:w="2631"/>
          </w:tcPr>
          <w:p>
            <w:pPr>
              <w:spacing w:after="0"/>
            </w:pPr>
            <w:r>
              <w:rPr>
                <w:rFonts w:ascii="Calibri" w:hAnsi="Calibri" w:eastAsia="Calibri"/>
                <w:b/>
                <w:i w:val="0"/>
                <w:color w:val="173D4C"/>
                <w:sz w:val="16"/>
              </w:rPr>
              <w:t>Country*</w:t>
            </w:r>
          </w:p>
        </w:tc>
        <w:tc>
          <w:tcPr>
            <w:tcW w:type="dxa" w:w="1364"/>
          </w:tcPr>
          <w:p>
            <w:pPr>
              <w:spacing w:after="0"/>
              <w:jc w:val="center"/>
            </w:pPr>
            <w:r>
              <w:rPr>
                <w:rFonts w:ascii="Calibri" w:hAnsi="Calibri" w:eastAsia="Calibri"/>
                <w:b/>
                <w:i w:val="0"/>
                <w:color w:val="173D4C"/>
                <w:sz w:val="16"/>
              </w:rPr>
              <w:t>COU</w:t>
            </w:r>
          </w:p>
        </w:tc>
      </w:tr>
      <w:tr>
        <w:tc>
          <w:tcPr>
            <w:tcW w:type="dxa" w:w="1852"/>
            <w:vMerge/>
          </w:tcPr>
          <w:p/>
        </w:tc>
        <w:tc>
          <w:tcPr>
            <w:tcW w:type="dxa" w:w="3898"/>
          </w:tcPr>
          <w:p>
            <w:pPr>
              <w:spacing w:after="0"/>
            </w:pPr>
            <w:r>
              <w:rPr>
                <w:rFonts w:ascii="Calibri" w:hAnsi="Calibri" w:eastAsia="Calibri"/>
                <w:b w:val="0"/>
                <w:i w:val="0"/>
                <w:color w:val="324D59"/>
                <w:sz w:val="16"/>
              </w:rPr>
              <w:t>Guadalajara y San Pedro Tlaquepaque</w:t>
            </w:r>
          </w:p>
        </w:tc>
        <w:tc>
          <w:tcPr>
            <w:tcW w:type="dxa" w:w="2631"/>
          </w:tcPr>
          <w:p>
            <w:pPr>
              <w:spacing w:after="0"/>
            </w:pPr>
            <w:r>
              <w:rPr>
                <w:rFonts w:ascii="Calibri" w:hAnsi="Calibri" w:eastAsia="Calibri"/>
                <w:b w:val="0"/>
                <w:i w:val="0"/>
                <w:color w:val="324D59"/>
                <w:sz w:val="16"/>
              </w:rPr>
              <w:t>Miravalle</w:t>
            </w:r>
          </w:p>
        </w:tc>
        <w:tc>
          <w:tcPr>
            <w:tcW w:type="dxa" w:w="1364"/>
          </w:tcPr>
          <w:p>
            <w:pPr>
              <w:spacing w:after="0"/>
              <w:jc w:val="center"/>
            </w:pPr>
            <w:r>
              <w:rPr>
                <w:rFonts w:ascii="Calibri" w:hAnsi="Calibri" w:eastAsia="Calibri"/>
                <w:b w:val="0"/>
                <w:i w:val="0"/>
                <w:color w:val="324D59"/>
                <w:sz w:val="16"/>
              </w:rPr>
              <w:t>MIR</w:t>
            </w:r>
          </w:p>
        </w:tc>
      </w:tr>
      <w:tr>
        <w:tc>
          <w:tcPr>
            <w:tcW w:type="dxa" w:w="1852"/>
            <w:vMerge/>
          </w:tcPr>
          <w:p/>
        </w:tc>
        <w:tc>
          <w:tcPr>
            <w:tcW w:type="dxa" w:w="3898"/>
          </w:tcPr>
          <w:p>
            <w:pPr>
              <w:spacing w:after="0"/>
            </w:pPr>
            <w:r>
              <w:rPr>
                <w:rFonts w:ascii="Calibri" w:hAnsi="Calibri" w:eastAsia="Calibri"/>
                <w:b w:val="0"/>
                <w:i w:val="0"/>
                <w:color w:val="324D59"/>
                <w:sz w:val="16"/>
              </w:rPr>
              <w:t>Guadalajara</w:t>
            </w:r>
          </w:p>
        </w:tc>
        <w:tc>
          <w:tcPr>
            <w:tcW w:type="dxa" w:w="2631"/>
          </w:tcPr>
          <w:p>
            <w:pPr>
              <w:spacing w:after="0"/>
            </w:pPr>
            <w:r>
              <w:rPr>
                <w:rFonts w:ascii="Calibri" w:hAnsi="Calibri" w:eastAsia="Calibri"/>
                <w:b w:val="0"/>
                <w:i w:val="0"/>
                <w:color w:val="324D59"/>
                <w:sz w:val="16"/>
              </w:rPr>
              <w:t>Oblatos</w:t>
            </w:r>
          </w:p>
        </w:tc>
        <w:tc>
          <w:tcPr>
            <w:tcW w:type="dxa" w:w="1364"/>
          </w:tcPr>
          <w:p>
            <w:pPr>
              <w:spacing w:after="0"/>
              <w:jc w:val="center"/>
            </w:pPr>
            <w:r>
              <w:rPr>
                <w:rFonts w:ascii="Calibri" w:hAnsi="Calibri" w:eastAsia="Calibri"/>
                <w:b w:val="0"/>
                <w:i w:val="0"/>
                <w:color w:val="324D59"/>
                <w:sz w:val="16"/>
              </w:rPr>
              <w:t>OBL</w:t>
            </w:r>
          </w:p>
        </w:tc>
      </w:tr>
      <w:tr>
        <w:tc>
          <w:tcPr>
            <w:tcW w:type="dxa" w:w="1852"/>
            <w:vMerge w:val="restart"/>
            <w:shd w:val="clear" w:color="auto" w:fill="E3E9EC"/>
          </w:tcPr>
          <w:p>
            <w:pPr>
              <w:spacing w:after="0"/>
            </w:pPr>
            <w:r>
              <w:rPr>
                <w:rFonts w:ascii="Calibri" w:hAnsi="Calibri" w:eastAsia="Calibri"/>
                <w:b w:val="0"/>
                <w:i w:val="0"/>
                <w:color w:val="324D59"/>
                <w:sz w:val="16"/>
              </w:rPr>
              <w:t>Tlajomulco de Zúñiga</w:t>
            </w:r>
          </w:p>
          <w:p>
            <w:pPr>
              <w:spacing w:after="0"/>
            </w:pPr>
            <w:r>
              <w:rPr>
                <w:rFonts w:ascii="Calibri" w:hAnsi="Calibri" w:eastAsia="Calibri"/>
                <w:b w:val="0"/>
                <w:i w:val="0"/>
                <w:color w:val="324D59"/>
                <w:sz w:val="16"/>
              </w:rPr>
              <w:t>Tlajomulco de Zúñiga</w:t>
            </w:r>
          </w:p>
        </w:tc>
        <w:tc>
          <w:tcPr>
            <w:tcW w:type="dxa" w:w="3898"/>
            <w:shd w:val="clear" w:color="auto" w:fill="E3E9EC"/>
          </w:tcPr>
          <w:p>
            <w:pPr>
              <w:spacing w:after="0"/>
            </w:pPr>
            <w:r>
              <w:rPr>
                <w:rFonts w:ascii="Calibri" w:hAnsi="Calibri" w:eastAsia="Calibri"/>
                <w:b w:val="0"/>
                <w:i w:val="0"/>
                <w:color w:val="324D59"/>
                <w:sz w:val="16"/>
              </w:rPr>
              <w:t>Tlajomulco de Zúñiga y San Pedro Tlaquepaque</w:t>
            </w:r>
          </w:p>
        </w:tc>
        <w:tc>
          <w:tcPr>
            <w:tcW w:type="dxa" w:w="2631"/>
            <w:shd w:val="clear" w:color="auto" w:fill="E3E9EC"/>
          </w:tcPr>
          <w:p>
            <w:pPr>
              <w:spacing w:after="0"/>
            </w:pPr>
            <w:r>
              <w:rPr>
                <w:rFonts w:ascii="Calibri" w:hAnsi="Calibri" w:eastAsia="Calibri"/>
                <w:b/>
                <w:i w:val="0"/>
                <w:color w:val="173D4C"/>
                <w:sz w:val="16"/>
              </w:rPr>
              <w:t>Santa Anita*</w:t>
            </w:r>
          </w:p>
        </w:tc>
        <w:tc>
          <w:tcPr>
            <w:tcW w:type="dxa" w:w="1364"/>
            <w:shd w:val="clear" w:color="auto" w:fill="E3E9EC"/>
          </w:tcPr>
          <w:p>
            <w:pPr>
              <w:spacing w:after="0"/>
              <w:jc w:val="center"/>
            </w:pPr>
            <w:r>
              <w:rPr>
                <w:rFonts w:ascii="Calibri" w:hAnsi="Calibri" w:eastAsia="Calibri"/>
                <w:b/>
                <w:i w:val="0"/>
                <w:color w:val="173D4C"/>
                <w:sz w:val="16"/>
              </w:rPr>
              <w:t>SAN</w:t>
            </w:r>
          </w:p>
        </w:tc>
      </w:tr>
      <w:tr>
        <w:tc>
          <w:tcPr>
            <w:tcW w:type="dxa" w:w="1852"/>
            <w:vMerge/>
            <w:shd w:val="clear" w:color="auto" w:fill="E3E9EC"/>
          </w:tcPr>
          <w:p/>
        </w:tc>
        <w:tc>
          <w:tcPr>
            <w:tcW w:type="dxa" w:w="3898"/>
            <w:shd w:val="clear" w:color="auto" w:fill="E3E9EC"/>
          </w:tcPr>
          <w:p>
            <w:pPr>
              <w:spacing w:after="0"/>
            </w:pPr>
            <w:r>
              <w:rPr>
                <w:rFonts w:ascii="Calibri" w:hAnsi="Calibri" w:eastAsia="Calibri"/>
                <w:b w:val="0"/>
                <w:i w:val="0"/>
                <w:color w:val="324D59"/>
                <w:sz w:val="16"/>
              </w:rPr>
              <w:t>Tlajomulco de Zúñiga, San Pedro Tlaquepaque y El Salto</w:t>
            </w:r>
          </w:p>
        </w:tc>
        <w:tc>
          <w:tcPr>
            <w:tcW w:type="dxa" w:w="2631"/>
            <w:shd w:val="clear" w:color="auto" w:fill="E3E9EC"/>
          </w:tcPr>
          <w:p>
            <w:pPr>
              <w:spacing w:after="0"/>
            </w:pPr>
            <w:r>
              <w:rPr>
                <w:rFonts w:ascii="Calibri" w:hAnsi="Calibri" w:eastAsia="Calibri"/>
                <w:b w:val="0"/>
                <w:i w:val="0"/>
                <w:color w:val="324D59"/>
                <w:sz w:val="16"/>
              </w:rPr>
              <w:t>Santa Fe</w:t>
            </w:r>
          </w:p>
        </w:tc>
        <w:tc>
          <w:tcPr>
            <w:tcW w:type="dxa" w:w="1364"/>
            <w:shd w:val="clear" w:color="auto" w:fill="E3E9EC"/>
          </w:tcPr>
          <w:p>
            <w:pPr>
              <w:spacing w:after="0"/>
              <w:jc w:val="center"/>
            </w:pPr>
            <w:r>
              <w:rPr>
                <w:rFonts w:ascii="Calibri" w:hAnsi="Calibri" w:eastAsia="Calibri"/>
                <w:b w:val="0"/>
                <w:i w:val="0"/>
                <w:color w:val="324D59"/>
                <w:sz w:val="16"/>
              </w:rPr>
              <w:t>SFE</w:t>
            </w:r>
          </w:p>
        </w:tc>
      </w:tr>
      <w:tr>
        <w:tc>
          <w:tcPr>
            <w:tcW w:type="dxa" w:w="1852"/>
          </w:tcPr>
          <w:p>
            <w:pPr>
              <w:spacing w:after="0"/>
            </w:pPr>
            <w:r>
              <w:rPr>
                <w:rFonts w:ascii="Calibri" w:hAnsi="Calibri" w:eastAsia="Calibri"/>
                <w:b w:val="0"/>
                <w:i w:val="0"/>
                <w:color w:val="324D59"/>
                <w:sz w:val="16"/>
              </w:rPr>
              <w:t>Tonalá</w:t>
            </w:r>
          </w:p>
        </w:tc>
        <w:tc>
          <w:tcPr>
            <w:tcW w:type="dxa" w:w="3898"/>
          </w:tcPr>
          <w:p>
            <w:pPr>
              <w:spacing w:after="0"/>
            </w:pPr>
            <w:r>
              <w:rPr>
                <w:rFonts w:ascii="Calibri" w:hAnsi="Calibri" w:eastAsia="Calibri"/>
                <w:b w:val="0"/>
                <w:i w:val="0"/>
                <w:color w:val="324D59"/>
                <w:sz w:val="16"/>
              </w:rPr>
              <w:t>Tonalá y Guadalajara</w:t>
            </w:r>
          </w:p>
        </w:tc>
        <w:tc>
          <w:tcPr>
            <w:tcW w:type="dxa" w:w="2631"/>
          </w:tcPr>
          <w:p>
            <w:pPr>
              <w:spacing w:after="0"/>
            </w:pPr>
            <w:r>
              <w:rPr>
                <w:rFonts w:ascii="Calibri" w:hAnsi="Calibri" w:eastAsia="Calibri"/>
                <w:b w:val="0"/>
                <w:i w:val="0"/>
                <w:color w:val="324D59"/>
                <w:sz w:val="16"/>
              </w:rPr>
              <w:t>Loma Dorada</w:t>
            </w:r>
          </w:p>
        </w:tc>
        <w:tc>
          <w:tcPr>
            <w:tcW w:type="dxa" w:w="1364"/>
          </w:tcPr>
          <w:p>
            <w:pPr>
              <w:spacing w:after="0"/>
              <w:jc w:val="center"/>
            </w:pPr>
            <w:r>
              <w:rPr>
                <w:rFonts w:ascii="Calibri" w:hAnsi="Calibri" w:eastAsia="Calibri"/>
                <w:b w:val="0"/>
                <w:i w:val="0"/>
                <w:color w:val="324D59"/>
                <w:sz w:val="16"/>
              </w:rPr>
              <w:t>LDO</w:t>
            </w:r>
          </w:p>
        </w:tc>
      </w:tr>
      <w:tr>
        <w:tc>
          <w:tcPr>
            <w:tcW w:type="dxa" w:w="1852"/>
            <w:vMerge w:val="restart"/>
            <w:shd w:val="clear" w:color="auto" w:fill="E3E9EC"/>
          </w:tcPr>
          <w:p>
            <w:pPr>
              <w:spacing w:after="0"/>
            </w:pPr>
            <w:r>
              <w:rPr>
                <w:rFonts w:ascii="Calibri" w:hAnsi="Calibri" w:eastAsia="Calibri"/>
                <w:b w:val="0"/>
                <w:i w:val="0"/>
                <w:color w:val="324D59"/>
                <w:sz w:val="16"/>
              </w:rPr>
              <w:t>Zapopan</w:t>
            </w:r>
          </w:p>
          <w:p>
            <w:pPr>
              <w:spacing w:after="0"/>
            </w:pPr>
            <w:r>
              <w:rPr>
                <w:rFonts w:ascii="Calibri" w:hAnsi="Calibri" w:eastAsia="Calibri"/>
                <w:b w:val="0"/>
                <w:i w:val="0"/>
                <w:color w:val="324D59"/>
                <w:sz w:val="16"/>
              </w:rPr>
              <w:t>Zapopan</w:t>
            </w:r>
          </w:p>
          <w:p>
            <w:pPr>
              <w:spacing w:after="0"/>
            </w:pPr>
            <w:r>
              <w:rPr>
                <w:rFonts w:ascii="Calibri" w:hAnsi="Calibri" w:eastAsia="Calibri"/>
                <w:b w:val="0"/>
                <w:i w:val="0"/>
                <w:color w:val="324D59"/>
                <w:sz w:val="16"/>
              </w:rPr>
              <w:t>Zapopan</w:t>
            </w:r>
          </w:p>
          <w:p>
            <w:pPr>
              <w:spacing w:after="0"/>
            </w:pPr>
            <w:r>
              <w:rPr>
                <w:rFonts w:ascii="Calibri" w:hAnsi="Calibri" w:eastAsia="Calibri"/>
                <w:b w:val="0"/>
                <w:i w:val="0"/>
                <w:color w:val="324D59"/>
                <w:sz w:val="16"/>
              </w:rPr>
              <w:t>Zapopan</w:t>
            </w:r>
          </w:p>
        </w:tc>
        <w:tc>
          <w:tcPr>
            <w:tcW w:type="dxa" w:w="3898"/>
            <w:shd w:val="clear" w:color="auto" w:fill="E3E9EC"/>
          </w:tcPr>
          <w:p>
            <w:pPr>
              <w:spacing w:after="0"/>
            </w:pPr>
            <w:r>
              <w:rPr>
                <w:rFonts w:ascii="Calibri" w:hAnsi="Calibri" w:eastAsia="Calibri"/>
                <w:b w:val="0"/>
                <w:i w:val="0"/>
                <w:color w:val="324D59"/>
                <w:sz w:val="16"/>
              </w:rPr>
              <w:t>Zapopan, Guadalajara y San Pedro Tlaquepaque</w:t>
            </w:r>
          </w:p>
        </w:tc>
        <w:tc>
          <w:tcPr>
            <w:tcW w:type="dxa" w:w="2631"/>
            <w:shd w:val="clear" w:color="auto" w:fill="E3E9EC"/>
          </w:tcPr>
          <w:p>
            <w:pPr>
              <w:spacing w:after="0"/>
            </w:pPr>
            <w:r>
              <w:rPr>
                <w:rFonts w:ascii="Calibri" w:hAnsi="Calibri" w:eastAsia="Calibri"/>
                <w:b w:val="0"/>
                <w:i w:val="0"/>
                <w:color w:val="324D59"/>
                <w:sz w:val="16"/>
              </w:rPr>
              <w:t>Águilas</w:t>
            </w:r>
          </w:p>
        </w:tc>
        <w:tc>
          <w:tcPr>
            <w:tcW w:type="dxa" w:w="1364"/>
            <w:shd w:val="clear" w:color="auto" w:fill="E3E9EC"/>
          </w:tcPr>
          <w:p>
            <w:pPr>
              <w:spacing w:after="0"/>
              <w:jc w:val="center"/>
            </w:pPr>
            <w:r>
              <w:rPr>
                <w:rFonts w:ascii="Calibri" w:hAnsi="Calibri" w:eastAsia="Calibri"/>
                <w:b w:val="0"/>
                <w:i w:val="0"/>
                <w:color w:val="324D59"/>
                <w:sz w:val="16"/>
              </w:rPr>
              <w:t>AGU</w:t>
            </w:r>
          </w:p>
        </w:tc>
      </w:tr>
      <w:tr>
        <w:tc>
          <w:tcPr>
            <w:tcW w:type="dxa" w:w="1852"/>
            <w:vMerge/>
            <w:shd w:val="clear" w:color="auto" w:fill="E3E9EC"/>
          </w:tcPr>
          <w:p/>
        </w:tc>
        <w:tc>
          <w:tcPr>
            <w:tcW w:type="dxa" w:w="3898"/>
            <w:shd w:val="clear" w:color="auto" w:fill="E3E9EC"/>
          </w:tcPr>
          <w:p>
            <w:pPr>
              <w:spacing w:after="0"/>
            </w:pPr>
            <w:r>
              <w:rPr>
                <w:rFonts w:ascii="Calibri" w:hAnsi="Calibri" w:eastAsia="Calibri"/>
                <w:b w:val="0"/>
                <w:i w:val="0"/>
                <w:color w:val="324D59"/>
                <w:sz w:val="16"/>
              </w:rPr>
              <w:t>Zapopan y Guadalajara</w:t>
            </w:r>
          </w:p>
        </w:tc>
        <w:tc>
          <w:tcPr>
            <w:tcW w:type="dxa" w:w="2631"/>
            <w:shd w:val="clear" w:color="auto" w:fill="E3E9EC"/>
          </w:tcPr>
          <w:p>
            <w:pPr>
              <w:spacing w:after="0"/>
            </w:pPr>
            <w:r>
              <w:rPr>
                <w:rFonts w:ascii="Calibri" w:hAnsi="Calibri" w:eastAsia="Calibri"/>
                <w:b w:val="0"/>
                <w:i w:val="0"/>
                <w:color w:val="324D59"/>
                <w:sz w:val="16"/>
              </w:rPr>
              <w:t>Atemajac</w:t>
            </w:r>
          </w:p>
        </w:tc>
        <w:tc>
          <w:tcPr>
            <w:tcW w:type="dxa" w:w="1364"/>
            <w:shd w:val="clear" w:color="auto" w:fill="E3E9EC"/>
          </w:tcPr>
          <w:p>
            <w:pPr>
              <w:spacing w:after="0"/>
              <w:jc w:val="center"/>
            </w:pPr>
            <w:r>
              <w:rPr>
                <w:rFonts w:ascii="Calibri" w:hAnsi="Calibri" w:eastAsia="Calibri"/>
                <w:b w:val="0"/>
                <w:i w:val="0"/>
                <w:color w:val="324D59"/>
                <w:sz w:val="16"/>
              </w:rPr>
              <w:t>ATM</w:t>
            </w:r>
          </w:p>
        </w:tc>
      </w:tr>
      <w:tr>
        <w:tc>
          <w:tcPr>
            <w:tcW w:type="dxa" w:w="1852"/>
            <w:vMerge/>
            <w:shd w:val="clear" w:color="auto" w:fill="E3E9EC"/>
          </w:tcPr>
          <w:p/>
        </w:tc>
        <w:tc>
          <w:tcPr>
            <w:tcW w:type="dxa" w:w="3898"/>
            <w:shd w:val="clear" w:color="auto" w:fill="E3E9EC"/>
          </w:tcPr>
          <w:p>
            <w:pPr>
              <w:spacing w:after="0"/>
            </w:pPr>
            <w:r>
              <w:rPr>
                <w:rFonts w:ascii="Calibri" w:hAnsi="Calibri" w:eastAsia="Calibri"/>
                <w:b w:val="0"/>
                <w:i w:val="0"/>
                <w:color w:val="324D59"/>
                <w:sz w:val="16"/>
              </w:rPr>
              <w:t>Zapopan</w:t>
            </w:r>
          </w:p>
        </w:tc>
        <w:tc>
          <w:tcPr>
            <w:tcW w:type="dxa" w:w="2631"/>
            <w:shd w:val="clear" w:color="auto" w:fill="E3E9EC"/>
          </w:tcPr>
          <w:p>
            <w:pPr>
              <w:spacing w:after="0"/>
            </w:pPr>
            <w:r>
              <w:rPr>
                <w:rFonts w:ascii="Calibri" w:hAnsi="Calibri" w:eastAsia="Calibri"/>
                <w:b/>
                <w:i w:val="0"/>
                <w:color w:val="173D4C"/>
                <w:sz w:val="16"/>
              </w:rPr>
              <w:t>Santa Margarita*</w:t>
            </w:r>
          </w:p>
        </w:tc>
        <w:tc>
          <w:tcPr>
            <w:tcW w:type="dxa" w:w="1364"/>
            <w:shd w:val="clear" w:color="auto" w:fill="E3E9EC"/>
          </w:tcPr>
          <w:p>
            <w:pPr>
              <w:spacing w:after="0"/>
              <w:jc w:val="center"/>
            </w:pPr>
            <w:r>
              <w:rPr>
                <w:rFonts w:ascii="Calibri" w:hAnsi="Calibri" w:eastAsia="Calibri"/>
                <w:b/>
                <w:i w:val="0"/>
                <w:color w:val="173D4C"/>
                <w:sz w:val="16"/>
              </w:rPr>
              <w:t>SMT</w:t>
            </w:r>
          </w:p>
        </w:tc>
      </w:tr>
      <w:tr>
        <w:tc>
          <w:tcPr>
            <w:tcW w:type="dxa" w:w="1852"/>
            <w:vMerge/>
            <w:shd w:val="clear" w:color="auto" w:fill="E3E9EC"/>
          </w:tcPr>
          <w:p/>
        </w:tc>
        <w:tc>
          <w:tcPr>
            <w:tcW w:type="dxa" w:w="3898"/>
            <w:shd w:val="clear" w:color="auto" w:fill="E3E9EC"/>
          </w:tcPr>
          <w:p>
            <w:pPr>
              <w:spacing w:after="0"/>
            </w:pPr>
            <w:r>
              <w:rPr>
                <w:rFonts w:ascii="Calibri" w:hAnsi="Calibri" w:eastAsia="Calibri"/>
                <w:b w:val="0"/>
                <w:i w:val="0"/>
                <w:color w:val="324D59"/>
                <w:sz w:val="16"/>
              </w:rPr>
              <w:t>Zapopan y Guadalajara</w:t>
            </w:r>
          </w:p>
        </w:tc>
        <w:tc>
          <w:tcPr>
            <w:tcW w:type="dxa" w:w="2631"/>
            <w:shd w:val="clear" w:color="auto" w:fill="E3E9EC"/>
          </w:tcPr>
          <w:p>
            <w:pPr>
              <w:spacing w:after="0"/>
            </w:pPr>
            <w:r>
              <w:rPr>
                <w:rFonts w:ascii="Calibri" w:hAnsi="Calibri" w:eastAsia="Calibri"/>
                <w:b w:val="0"/>
                <w:i w:val="0"/>
                <w:color w:val="324D59"/>
                <w:sz w:val="16"/>
              </w:rPr>
              <w:t>Vallarta</w:t>
            </w:r>
          </w:p>
        </w:tc>
        <w:tc>
          <w:tcPr>
            <w:tcW w:type="dxa" w:w="1364"/>
            <w:shd w:val="clear" w:color="auto" w:fill="E3E9EC"/>
          </w:tcPr>
          <w:p>
            <w:pPr>
              <w:spacing w:after="0"/>
              <w:jc w:val="center"/>
            </w:pPr>
            <w:r>
              <w:rPr>
                <w:rFonts w:ascii="Calibri" w:hAnsi="Calibri" w:eastAsia="Calibri"/>
                <w:b w:val="0"/>
                <w:i w:val="0"/>
                <w:color w:val="324D59"/>
                <w:sz w:val="16"/>
              </w:rPr>
              <w:t>VAL</w:t>
            </w:r>
          </w:p>
        </w:tc>
      </w:tr>
    </w:tbl>
    <w:p>
      <w:pPr>
        <w:spacing w:after="80"/>
      </w:pPr>
    </w:p>
    <w:p>
      <w:r>
        <w:rPr>
          <w:rFonts w:ascii="Calibri" w:hAnsi="Calibri" w:eastAsia="Calibri"/>
          <w:b w:val="0"/>
          <w:i w:val="0"/>
          <w:color w:val="6C8894"/>
          <w:sz w:val="17"/>
        </w:rPr>
        <w:t>* Estación nueva.</w:t>
      </w:r>
    </w:p>
    <w:p>
      <w:pPr>
        <w:keepNext/>
        <w:spacing w:before="160"/>
      </w:pPr>
      <w:r>
        <w:rPr>
          <w:rFonts w:ascii="Calibri" w:hAnsi="Calibri" w:eastAsia="Calibri"/>
          <w:b/>
          <w:i w:val="0"/>
          <w:color w:val="173D4C"/>
          <w:sz w:val="19"/>
        </w:rPr>
        <w:t>Tabla 2. Contaminantes monitoreados en cada estación del SIMAJ.</w:t>
      </w:r>
    </w:p>
    <w:tbl>
      <w:tblPr>
        <w:tblW w:type="auto" w:w="0"/>
        <w:jc w:val="center"/>
        <w:tblLayout w:type="fixed"/>
        <w:tblLook w:firstColumn="1" w:firstRow="1" w:lastColumn="0" w:lastRow="0" w:noHBand="0" w:noVBand="1" w:val="04A0"/>
        <w:tblBorders>
          <w:top w:val="single" w:sz="4" w:space="0" w:color="D7DEE1"/>
          <w:left w:val="single" w:sz="4" w:space="0" w:color="D7DEE1"/>
          <w:bottom w:val="single" w:sz="4" w:space="0" w:color="D7DEE1"/>
          <w:right w:val="single" w:sz="4" w:space="0" w:color="D7DEE1"/>
          <w:insideH w:val="single" w:sz="4" w:space="0" w:color="D7DEE1"/>
          <w:insideV w:val="single" w:sz="4" w:space="0" w:color="D7DEE1"/>
        </w:tblBorders>
      </w:tblPr>
      <w:tblGrid>
        <w:gridCol w:w="2436"/>
        <w:gridCol w:w="2436"/>
        <w:gridCol w:w="2436"/>
        <w:gridCol w:w="2436"/>
      </w:tblGrid>
      <w:tr>
        <w:trPr>
          <w:tblHeader/>
          <w:cantSplit/>
        </w:trPr>
        <w:tc>
          <w:tcPr>
            <w:tcW w:type="dxa" w:w="1852"/>
            <w:shd w:val="clear" w:color="auto" w:fill="173D4C"/>
          </w:tcPr>
          <w:p>
            <w:pPr>
              <w:keepNext/>
              <w:spacing w:after="0"/>
              <w:jc w:val="center"/>
            </w:pPr>
            <w:r>
              <w:rPr>
                <w:rFonts w:ascii="Calibri" w:hAnsi="Calibri" w:eastAsia="Calibri"/>
                <w:b/>
                <w:i w:val="0"/>
                <w:color w:val="FFFFFF"/>
                <w:sz w:val="16"/>
              </w:rPr>
              <w:t>Estación</w:t>
            </w:r>
          </w:p>
        </w:tc>
        <w:tc>
          <w:tcPr>
            <w:tcW w:type="dxa" w:w="1949"/>
            <w:shd w:val="clear" w:color="auto" w:fill="173D4C"/>
          </w:tcPr>
          <w:p>
            <w:pPr>
              <w:keepNext/>
              <w:spacing w:after="0"/>
              <w:jc w:val="center"/>
            </w:pPr>
            <w:r>
              <w:rPr>
                <w:rFonts w:ascii="Calibri" w:hAnsi="Calibri" w:eastAsia="Calibri"/>
                <w:b/>
                <w:i w:val="0"/>
                <w:color w:val="FFFFFF"/>
                <w:sz w:val="16"/>
              </w:rPr>
              <w:t>Municipio</w:t>
            </w:r>
          </w:p>
        </w:tc>
        <w:tc>
          <w:tcPr>
            <w:tcW w:type="dxa" w:w="1462"/>
            <w:shd w:val="clear" w:color="auto" w:fill="173D4C"/>
          </w:tcPr>
          <w:p>
            <w:pPr>
              <w:keepNext/>
              <w:spacing w:after="0"/>
              <w:jc w:val="center"/>
            </w:pPr>
            <w:r>
              <w:rPr>
                <w:rFonts w:ascii="Calibri" w:hAnsi="Calibri" w:eastAsia="Calibri"/>
                <w:b/>
                <w:i w:val="0"/>
                <w:color w:val="FFFFFF"/>
                <w:sz w:val="16"/>
              </w:rPr>
              <w:t>Inicio de operación</w:t>
            </w:r>
          </w:p>
        </w:tc>
        <w:tc>
          <w:tcPr>
            <w:tcW w:type="dxa" w:w="4483"/>
            <w:shd w:val="clear" w:color="auto" w:fill="173D4C"/>
          </w:tcPr>
          <w:p>
            <w:pPr>
              <w:keepNext/>
              <w:spacing w:after="0"/>
              <w:jc w:val="center"/>
            </w:pPr>
            <w:r>
              <w:rPr>
                <w:rFonts w:ascii="Calibri" w:hAnsi="Calibri" w:eastAsia="Calibri"/>
                <w:b/>
                <w:i w:val="0"/>
                <w:color w:val="FFFFFF"/>
                <w:sz w:val="16"/>
              </w:rPr>
              <w:t>Contaminantes medidos</w:t>
            </w:r>
          </w:p>
        </w:tc>
      </w:tr>
      <w:tr>
        <w:tc>
          <w:tcPr>
            <w:tcW w:type="dxa" w:w="1852"/>
            <w:shd w:val="clear" w:color="auto" w:fill="FFFFFF"/>
          </w:tcPr>
          <w:p>
            <w:pPr>
              <w:spacing w:after="0"/>
            </w:pPr>
            <w:r>
              <w:rPr>
                <w:rFonts w:ascii="Calibri" w:hAnsi="Calibri" w:eastAsia="Calibri"/>
                <w:b/>
                <w:i w:val="0"/>
                <w:color w:val="173D4C"/>
                <w:sz w:val="16"/>
              </w:rPr>
              <w:t>Águilas</w:t>
            </w:r>
            <w:r>
              <w:br/>
            </w:r>
            <w:r>
              <w:rPr>
                <w:rFonts w:ascii="Calibri" w:hAnsi="Calibri" w:eastAsia="Calibri"/>
                <w:b/>
                <w:i w:val="0"/>
                <w:color w:val="6C8894"/>
                <w:sz w:val="16"/>
              </w:rPr>
              <w:t>AGU</w:t>
            </w:r>
          </w:p>
        </w:tc>
        <w:tc>
          <w:tcPr>
            <w:tcW w:type="dxa" w:w="1949"/>
            <w:shd w:val="clear" w:color="auto" w:fill="FFFFFF"/>
          </w:tcPr>
          <w:p>
            <w:pPr>
              <w:spacing w:after="0"/>
            </w:pPr>
            <w:r>
              <w:rPr>
                <w:rFonts w:ascii="Calibri" w:hAnsi="Calibri" w:eastAsia="Calibri"/>
                <w:b w:val="0"/>
                <w:i w:val="0"/>
                <w:color w:val="324D59"/>
                <w:sz w:val="16"/>
              </w:rPr>
              <w:t>Zapopan</w:t>
            </w:r>
          </w:p>
        </w:tc>
        <w:tc>
          <w:tcPr>
            <w:tcW w:type="dxa" w:w="1462"/>
            <w:shd w:val="clear" w:color="auto" w:fill="FFFFFF"/>
          </w:tcPr>
          <w:p>
            <w:pPr>
              <w:spacing w:after="0"/>
              <w:jc w:val="center"/>
            </w:pPr>
            <w:r>
              <w:rPr>
                <w:rFonts w:ascii="Calibri" w:hAnsi="Calibri" w:eastAsia="Calibri"/>
                <w:b w:val="0"/>
                <w:i w:val="0"/>
                <w:color w:val="324D59"/>
                <w:sz w:val="16"/>
              </w:rPr>
              <w:t>1993</w:t>
            </w:r>
          </w:p>
        </w:tc>
        <w:tc>
          <w:tcPr>
            <w:tcW w:type="dxa" w:w="4483"/>
            <w:shd w:val="clear" w:color="auto" w:fill="FFFFFF"/>
          </w:tcPr>
          <w:p>
            <w:pPr>
              <w:spacing w:after="0"/>
            </w:pPr>
            <w:r>
              <w:rPr>
                <w:rFonts w:ascii="Calibri" w:hAnsi="Calibri" w:eastAsia="Calibri"/>
                <w:b w:val="0"/>
                <w:i w:val="0"/>
                <w:color w:val="324D59"/>
                <w:sz w:val="16"/>
              </w:rPr>
              <w:t>PM</w:t>
            </w:r>
            <w:r>
              <w:rPr>
                <w:rFonts w:ascii="Calibri" w:hAnsi="Calibri" w:eastAsia="Calibri"/>
                <w:b w:val="0"/>
                <w:i w:val="0"/>
                <w:color w:val="324D59"/>
                <w:sz w:val="16"/>
                <w:vertAlign w:val="subscript"/>
              </w:rPr>
              <w:t>10</w:t>
            </w:r>
            <w:r>
              <w:rPr>
                <w:rFonts w:ascii="Calibri" w:hAnsi="Calibri" w:eastAsia="Calibri"/>
                <w:b w:val="0"/>
                <w:i w:val="0"/>
                <w:color w:val="324D59"/>
                <w:sz w:val="16"/>
              </w:rPr>
              <w:t xml:space="preserve">  PM</w:t>
            </w:r>
            <w:r>
              <w:rPr>
                <w:rFonts w:ascii="Calibri" w:hAnsi="Calibri" w:eastAsia="Calibri"/>
                <w:b w:val="0"/>
                <w:i w:val="0"/>
                <w:color w:val="324D59"/>
                <w:sz w:val="16"/>
                <w:vertAlign w:val="subscript"/>
              </w:rPr>
              <w:t>2.5</w:t>
            </w:r>
            <w:r>
              <w:rPr>
                <w:rFonts w:ascii="Calibri" w:hAnsi="Calibri" w:eastAsia="Calibri"/>
                <w:b w:val="0"/>
                <w:i w:val="0"/>
                <w:color w:val="324D59"/>
                <w:sz w:val="16"/>
              </w:rPr>
              <w:t xml:space="preserve">  O</w:t>
            </w:r>
            <w:r>
              <w:rPr>
                <w:rFonts w:ascii="Calibri" w:hAnsi="Calibri" w:eastAsia="Calibri"/>
                <w:b w:val="0"/>
                <w:i w:val="0"/>
                <w:color w:val="324D59"/>
                <w:sz w:val="16"/>
                <w:vertAlign w:val="subscript"/>
              </w:rPr>
              <w:t>3</w:t>
            </w:r>
            <w:r>
              <w:rPr>
                <w:rFonts w:ascii="Calibri" w:hAnsi="Calibri" w:eastAsia="Calibri"/>
                <w:b w:val="0"/>
                <w:i w:val="0"/>
                <w:color w:val="324D59"/>
                <w:sz w:val="16"/>
              </w:rPr>
              <w:t xml:space="preserve">  SO</w:t>
            </w:r>
            <w:r>
              <w:rPr>
                <w:rFonts w:ascii="Calibri" w:hAnsi="Calibri" w:eastAsia="Calibri"/>
                <w:b w:val="0"/>
                <w:i w:val="0"/>
                <w:color w:val="324D59"/>
                <w:sz w:val="16"/>
                <w:vertAlign w:val="subscript"/>
              </w:rPr>
              <w:t>2</w:t>
            </w:r>
            <w:r>
              <w:rPr>
                <w:rFonts w:ascii="Calibri" w:hAnsi="Calibri" w:eastAsia="Calibri"/>
                <w:b w:val="0"/>
                <w:i w:val="0"/>
                <w:color w:val="324D59"/>
                <w:sz w:val="16"/>
              </w:rPr>
              <w:t xml:space="preserve">  NO</w:t>
            </w:r>
            <w:r>
              <w:rPr>
                <w:rFonts w:ascii="Calibri" w:hAnsi="Calibri" w:eastAsia="Calibri"/>
                <w:b w:val="0"/>
                <w:i w:val="0"/>
                <w:color w:val="324D59"/>
                <w:sz w:val="16"/>
                <w:vertAlign w:val="subscript"/>
              </w:rPr>
              <w:t>2</w:t>
            </w:r>
            <w:r>
              <w:rPr>
                <w:rFonts w:ascii="Calibri" w:hAnsi="Calibri" w:eastAsia="Calibri"/>
                <w:b w:val="0"/>
                <w:i w:val="0"/>
                <w:color w:val="324D59"/>
                <w:sz w:val="16"/>
              </w:rPr>
              <w:t xml:space="preserve">  CO</w:t>
            </w:r>
          </w:p>
        </w:tc>
      </w:tr>
      <w:tr>
        <w:tc>
          <w:tcPr>
            <w:tcW w:type="dxa" w:w="1852"/>
            <w:shd w:val="clear" w:color="auto" w:fill="E3E9EC"/>
          </w:tcPr>
          <w:p>
            <w:pPr>
              <w:spacing w:after="0"/>
            </w:pPr>
            <w:r>
              <w:rPr>
                <w:rFonts w:ascii="Calibri" w:hAnsi="Calibri" w:eastAsia="Calibri"/>
                <w:b/>
                <w:i w:val="0"/>
                <w:color w:val="173D4C"/>
                <w:sz w:val="16"/>
              </w:rPr>
              <w:t>Atemajac</w:t>
            </w:r>
            <w:r>
              <w:br/>
            </w:r>
            <w:r>
              <w:rPr>
                <w:rFonts w:ascii="Calibri" w:hAnsi="Calibri" w:eastAsia="Calibri"/>
                <w:b/>
                <w:i w:val="0"/>
                <w:color w:val="6C8894"/>
                <w:sz w:val="16"/>
              </w:rPr>
              <w:t>ATM</w:t>
            </w:r>
          </w:p>
        </w:tc>
        <w:tc>
          <w:tcPr>
            <w:tcW w:type="dxa" w:w="1949"/>
            <w:shd w:val="clear" w:color="auto" w:fill="E3E9EC"/>
          </w:tcPr>
          <w:p>
            <w:pPr>
              <w:spacing w:after="0"/>
            </w:pPr>
            <w:r>
              <w:rPr>
                <w:rFonts w:ascii="Calibri" w:hAnsi="Calibri" w:eastAsia="Calibri"/>
                <w:b w:val="0"/>
                <w:i w:val="0"/>
                <w:color w:val="324D59"/>
                <w:sz w:val="16"/>
              </w:rPr>
              <w:t>Zapopan</w:t>
            </w:r>
          </w:p>
        </w:tc>
        <w:tc>
          <w:tcPr>
            <w:tcW w:type="dxa" w:w="1462"/>
            <w:shd w:val="clear" w:color="auto" w:fill="E3E9EC"/>
          </w:tcPr>
          <w:p>
            <w:pPr>
              <w:spacing w:after="0"/>
              <w:jc w:val="center"/>
            </w:pPr>
            <w:r>
              <w:rPr>
                <w:rFonts w:ascii="Calibri" w:hAnsi="Calibri" w:eastAsia="Calibri"/>
                <w:b w:val="0"/>
                <w:i w:val="0"/>
                <w:color w:val="324D59"/>
                <w:sz w:val="16"/>
              </w:rPr>
              <w:t>1993</w:t>
            </w:r>
          </w:p>
        </w:tc>
        <w:tc>
          <w:tcPr>
            <w:tcW w:type="dxa" w:w="4483"/>
            <w:shd w:val="clear" w:color="auto" w:fill="E3E9EC"/>
          </w:tcPr>
          <w:p>
            <w:pPr>
              <w:spacing w:after="0"/>
            </w:pPr>
            <w:r>
              <w:rPr>
                <w:rFonts w:ascii="Calibri" w:hAnsi="Calibri" w:eastAsia="Calibri"/>
                <w:b w:val="0"/>
                <w:i w:val="0"/>
                <w:color w:val="324D59"/>
                <w:sz w:val="16"/>
              </w:rPr>
              <w:t>PM</w:t>
            </w:r>
            <w:r>
              <w:rPr>
                <w:rFonts w:ascii="Calibri" w:hAnsi="Calibri" w:eastAsia="Calibri"/>
                <w:b w:val="0"/>
                <w:i w:val="0"/>
                <w:color w:val="324D59"/>
                <w:sz w:val="16"/>
                <w:vertAlign w:val="subscript"/>
              </w:rPr>
              <w:t>10</w:t>
            </w:r>
            <w:r>
              <w:rPr>
                <w:rFonts w:ascii="Calibri" w:hAnsi="Calibri" w:eastAsia="Calibri"/>
                <w:b w:val="0"/>
                <w:i w:val="0"/>
                <w:color w:val="324D59"/>
                <w:sz w:val="16"/>
              </w:rPr>
              <w:t xml:space="preserve">  PM</w:t>
            </w:r>
            <w:r>
              <w:rPr>
                <w:rFonts w:ascii="Calibri" w:hAnsi="Calibri" w:eastAsia="Calibri"/>
                <w:b w:val="0"/>
                <w:i w:val="0"/>
                <w:color w:val="324D59"/>
                <w:sz w:val="16"/>
                <w:vertAlign w:val="subscript"/>
              </w:rPr>
              <w:t>2.5</w:t>
            </w:r>
            <w:r>
              <w:rPr>
                <w:rFonts w:ascii="Calibri" w:hAnsi="Calibri" w:eastAsia="Calibri"/>
                <w:b w:val="0"/>
                <w:i w:val="0"/>
                <w:color w:val="324D59"/>
                <w:sz w:val="16"/>
              </w:rPr>
              <w:t xml:space="preserve">  O</w:t>
            </w:r>
            <w:r>
              <w:rPr>
                <w:rFonts w:ascii="Calibri" w:hAnsi="Calibri" w:eastAsia="Calibri"/>
                <w:b w:val="0"/>
                <w:i w:val="0"/>
                <w:color w:val="324D59"/>
                <w:sz w:val="16"/>
                <w:vertAlign w:val="subscript"/>
              </w:rPr>
              <w:t>3</w:t>
            </w:r>
            <w:r>
              <w:rPr>
                <w:rFonts w:ascii="Calibri" w:hAnsi="Calibri" w:eastAsia="Calibri"/>
                <w:b w:val="0"/>
                <w:i w:val="0"/>
                <w:color w:val="324D59"/>
                <w:sz w:val="16"/>
              </w:rPr>
              <w:t xml:space="preserve">  SO</w:t>
            </w:r>
            <w:r>
              <w:rPr>
                <w:rFonts w:ascii="Calibri" w:hAnsi="Calibri" w:eastAsia="Calibri"/>
                <w:b w:val="0"/>
                <w:i w:val="0"/>
                <w:color w:val="324D59"/>
                <w:sz w:val="16"/>
                <w:vertAlign w:val="subscript"/>
              </w:rPr>
              <w:t>2</w:t>
            </w:r>
            <w:r>
              <w:rPr>
                <w:rFonts w:ascii="Calibri" w:hAnsi="Calibri" w:eastAsia="Calibri"/>
                <w:b w:val="0"/>
                <w:i w:val="0"/>
                <w:color w:val="324D59"/>
                <w:sz w:val="16"/>
              </w:rPr>
              <w:t xml:space="preserve">  NO</w:t>
            </w:r>
            <w:r>
              <w:rPr>
                <w:rFonts w:ascii="Calibri" w:hAnsi="Calibri" w:eastAsia="Calibri"/>
                <w:b w:val="0"/>
                <w:i w:val="0"/>
                <w:color w:val="324D59"/>
                <w:sz w:val="16"/>
                <w:vertAlign w:val="subscript"/>
              </w:rPr>
              <w:t>2</w:t>
            </w:r>
            <w:r>
              <w:rPr>
                <w:rFonts w:ascii="Calibri" w:hAnsi="Calibri" w:eastAsia="Calibri"/>
                <w:b w:val="0"/>
                <w:i w:val="0"/>
                <w:color w:val="324D59"/>
                <w:sz w:val="16"/>
              </w:rPr>
              <w:t xml:space="preserve">  CO</w:t>
            </w:r>
          </w:p>
        </w:tc>
      </w:tr>
      <w:tr>
        <w:tc>
          <w:tcPr>
            <w:tcW w:type="dxa" w:w="1852"/>
            <w:shd w:val="clear" w:color="auto" w:fill="FFFFFF"/>
          </w:tcPr>
          <w:p>
            <w:pPr>
              <w:spacing w:after="0"/>
            </w:pPr>
            <w:r>
              <w:rPr>
                <w:rFonts w:ascii="Calibri" w:hAnsi="Calibri" w:eastAsia="Calibri"/>
                <w:b/>
                <w:i w:val="0"/>
                <w:color w:val="173D4C"/>
                <w:sz w:val="16"/>
              </w:rPr>
              <w:t>Centro</w:t>
            </w:r>
            <w:r>
              <w:br/>
            </w:r>
            <w:r>
              <w:rPr>
                <w:rFonts w:ascii="Calibri" w:hAnsi="Calibri" w:eastAsia="Calibri"/>
                <w:b/>
                <w:i w:val="0"/>
                <w:color w:val="6C8894"/>
                <w:sz w:val="16"/>
              </w:rPr>
              <w:t>CEN</w:t>
            </w:r>
          </w:p>
        </w:tc>
        <w:tc>
          <w:tcPr>
            <w:tcW w:type="dxa" w:w="1949"/>
            <w:shd w:val="clear" w:color="auto" w:fill="FFFFFF"/>
          </w:tcPr>
          <w:p>
            <w:pPr>
              <w:spacing w:after="0"/>
            </w:pPr>
            <w:r>
              <w:rPr>
                <w:rFonts w:ascii="Calibri" w:hAnsi="Calibri" w:eastAsia="Calibri"/>
                <w:b w:val="0"/>
                <w:i w:val="0"/>
                <w:color w:val="324D59"/>
                <w:sz w:val="16"/>
              </w:rPr>
              <w:t>Guadalajara</w:t>
            </w:r>
          </w:p>
        </w:tc>
        <w:tc>
          <w:tcPr>
            <w:tcW w:type="dxa" w:w="1462"/>
            <w:shd w:val="clear" w:color="auto" w:fill="FFFFFF"/>
          </w:tcPr>
          <w:p>
            <w:pPr>
              <w:spacing w:after="0"/>
              <w:jc w:val="center"/>
            </w:pPr>
            <w:r>
              <w:rPr>
                <w:rFonts w:ascii="Calibri" w:hAnsi="Calibri" w:eastAsia="Calibri"/>
                <w:b w:val="0"/>
                <w:i w:val="0"/>
                <w:color w:val="324D59"/>
                <w:sz w:val="16"/>
              </w:rPr>
              <w:t>1993</w:t>
            </w:r>
          </w:p>
        </w:tc>
        <w:tc>
          <w:tcPr>
            <w:tcW w:type="dxa" w:w="4483"/>
            <w:shd w:val="clear" w:color="auto" w:fill="FFFFFF"/>
          </w:tcPr>
          <w:p>
            <w:pPr>
              <w:spacing w:after="0"/>
            </w:pPr>
            <w:r>
              <w:rPr>
                <w:rFonts w:ascii="Calibri" w:hAnsi="Calibri" w:eastAsia="Calibri"/>
                <w:b w:val="0"/>
                <w:i w:val="0"/>
                <w:color w:val="324D59"/>
                <w:sz w:val="16"/>
              </w:rPr>
              <w:t>PM</w:t>
            </w:r>
            <w:r>
              <w:rPr>
                <w:rFonts w:ascii="Calibri" w:hAnsi="Calibri" w:eastAsia="Calibri"/>
                <w:b w:val="0"/>
                <w:i w:val="0"/>
                <w:color w:val="324D59"/>
                <w:sz w:val="16"/>
                <w:vertAlign w:val="subscript"/>
              </w:rPr>
              <w:t>10</w:t>
            </w:r>
            <w:r>
              <w:rPr>
                <w:rFonts w:ascii="Calibri" w:hAnsi="Calibri" w:eastAsia="Calibri"/>
                <w:b w:val="0"/>
                <w:i w:val="0"/>
                <w:color w:val="324D59"/>
                <w:sz w:val="16"/>
              </w:rPr>
              <w:t xml:space="preserve">  PM</w:t>
            </w:r>
            <w:r>
              <w:rPr>
                <w:rFonts w:ascii="Calibri" w:hAnsi="Calibri" w:eastAsia="Calibri"/>
                <w:b w:val="0"/>
                <w:i w:val="0"/>
                <w:color w:val="324D59"/>
                <w:sz w:val="16"/>
                <w:vertAlign w:val="subscript"/>
              </w:rPr>
              <w:t>2.5</w:t>
            </w:r>
            <w:r>
              <w:rPr>
                <w:rFonts w:ascii="Calibri" w:hAnsi="Calibri" w:eastAsia="Calibri"/>
                <w:b w:val="0"/>
                <w:i w:val="0"/>
                <w:color w:val="324D59"/>
                <w:sz w:val="16"/>
              </w:rPr>
              <w:t xml:space="preserve">  O</w:t>
            </w:r>
            <w:r>
              <w:rPr>
                <w:rFonts w:ascii="Calibri" w:hAnsi="Calibri" w:eastAsia="Calibri"/>
                <w:b w:val="0"/>
                <w:i w:val="0"/>
                <w:color w:val="324D59"/>
                <w:sz w:val="16"/>
                <w:vertAlign w:val="subscript"/>
              </w:rPr>
              <w:t>3</w:t>
            </w:r>
            <w:r>
              <w:rPr>
                <w:rFonts w:ascii="Calibri" w:hAnsi="Calibri" w:eastAsia="Calibri"/>
                <w:b w:val="0"/>
                <w:i w:val="0"/>
                <w:color w:val="324D59"/>
                <w:sz w:val="16"/>
              </w:rPr>
              <w:t xml:space="preserve">  SO</w:t>
            </w:r>
            <w:r>
              <w:rPr>
                <w:rFonts w:ascii="Calibri" w:hAnsi="Calibri" w:eastAsia="Calibri"/>
                <w:b w:val="0"/>
                <w:i w:val="0"/>
                <w:color w:val="324D59"/>
                <w:sz w:val="16"/>
                <w:vertAlign w:val="subscript"/>
              </w:rPr>
              <w:t>2</w:t>
            </w:r>
            <w:r>
              <w:rPr>
                <w:rFonts w:ascii="Calibri" w:hAnsi="Calibri" w:eastAsia="Calibri"/>
                <w:b w:val="0"/>
                <w:i w:val="0"/>
                <w:color w:val="324D59"/>
                <w:sz w:val="16"/>
              </w:rPr>
              <w:t xml:space="preserve">  NO</w:t>
            </w:r>
            <w:r>
              <w:rPr>
                <w:rFonts w:ascii="Calibri" w:hAnsi="Calibri" w:eastAsia="Calibri"/>
                <w:b w:val="0"/>
                <w:i w:val="0"/>
                <w:color w:val="324D59"/>
                <w:sz w:val="16"/>
                <w:vertAlign w:val="subscript"/>
              </w:rPr>
              <w:t>2</w:t>
            </w:r>
            <w:r>
              <w:rPr>
                <w:rFonts w:ascii="Calibri" w:hAnsi="Calibri" w:eastAsia="Calibri"/>
                <w:b w:val="0"/>
                <w:i w:val="0"/>
                <w:color w:val="324D59"/>
                <w:sz w:val="16"/>
              </w:rPr>
              <w:t xml:space="preserve">  CO</w:t>
            </w:r>
          </w:p>
        </w:tc>
      </w:tr>
      <w:tr>
        <w:tc>
          <w:tcPr>
            <w:tcW w:type="dxa" w:w="1852"/>
            <w:shd w:val="clear" w:color="auto" w:fill="E3E9EC"/>
          </w:tcPr>
          <w:p>
            <w:pPr>
              <w:spacing w:after="0"/>
            </w:pPr>
            <w:r>
              <w:rPr>
                <w:rFonts w:ascii="Calibri" w:hAnsi="Calibri" w:eastAsia="Calibri"/>
                <w:b/>
                <w:i w:val="0"/>
                <w:color w:val="173D4C"/>
                <w:sz w:val="16"/>
              </w:rPr>
              <w:t>Country*</w:t>
            </w:r>
            <w:r>
              <w:br/>
            </w:r>
            <w:r>
              <w:rPr>
                <w:rFonts w:ascii="Calibri" w:hAnsi="Calibri" w:eastAsia="Calibri"/>
                <w:b/>
                <w:i w:val="0"/>
                <w:color w:val="6C8894"/>
                <w:sz w:val="16"/>
              </w:rPr>
              <w:t>COU</w:t>
            </w:r>
          </w:p>
        </w:tc>
        <w:tc>
          <w:tcPr>
            <w:tcW w:type="dxa" w:w="1949"/>
            <w:shd w:val="clear" w:color="auto" w:fill="E3E9EC"/>
          </w:tcPr>
          <w:p>
            <w:pPr>
              <w:spacing w:after="0"/>
            </w:pPr>
            <w:r>
              <w:rPr>
                <w:rFonts w:ascii="Calibri" w:hAnsi="Calibri" w:eastAsia="Calibri"/>
                <w:b w:val="0"/>
                <w:i w:val="0"/>
                <w:color w:val="324D59"/>
                <w:sz w:val="16"/>
              </w:rPr>
              <w:t>Guadalajara</w:t>
            </w:r>
          </w:p>
        </w:tc>
        <w:tc>
          <w:tcPr>
            <w:tcW w:type="dxa" w:w="1462"/>
            <w:shd w:val="clear" w:color="auto" w:fill="E3E9EC"/>
          </w:tcPr>
          <w:p>
            <w:pPr>
              <w:spacing w:after="0"/>
              <w:jc w:val="center"/>
            </w:pPr>
            <w:r>
              <w:rPr>
                <w:rFonts w:ascii="Calibri" w:hAnsi="Calibri" w:eastAsia="Calibri"/>
                <w:b w:val="0"/>
                <w:i w:val="0"/>
                <w:color w:val="324D59"/>
                <w:sz w:val="16"/>
              </w:rPr>
              <w:t>2024</w:t>
            </w:r>
          </w:p>
        </w:tc>
        <w:tc>
          <w:tcPr>
            <w:tcW w:type="dxa" w:w="4483"/>
            <w:shd w:val="clear" w:color="auto" w:fill="E3E9EC"/>
          </w:tcPr>
          <w:p>
            <w:pPr>
              <w:spacing w:after="0"/>
            </w:pPr>
            <w:r>
              <w:rPr>
                <w:rFonts w:ascii="Calibri" w:hAnsi="Calibri" w:eastAsia="Calibri"/>
                <w:b w:val="0"/>
                <w:i w:val="0"/>
                <w:color w:val="324D59"/>
                <w:sz w:val="16"/>
              </w:rPr>
              <w:t>PM</w:t>
            </w:r>
            <w:r>
              <w:rPr>
                <w:rFonts w:ascii="Calibri" w:hAnsi="Calibri" w:eastAsia="Calibri"/>
                <w:b w:val="0"/>
                <w:i w:val="0"/>
                <w:color w:val="324D59"/>
                <w:sz w:val="16"/>
                <w:vertAlign w:val="subscript"/>
              </w:rPr>
              <w:t>10</w:t>
            </w:r>
            <w:r>
              <w:rPr>
                <w:rFonts w:ascii="Calibri" w:hAnsi="Calibri" w:eastAsia="Calibri"/>
                <w:b w:val="0"/>
                <w:i w:val="0"/>
                <w:color w:val="324D59"/>
                <w:sz w:val="16"/>
              </w:rPr>
              <w:t xml:space="preserve">  PM</w:t>
            </w:r>
            <w:r>
              <w:rPr>
                <w:rFonts w:ascii="Calibri" w:hAnsi="Calibri" w:eastAsia="Calibri"/>
                <w:b w:val="0"/>
                <w:i w:val="0"/>
                <w:color w:val="324D59"/>
                <w:sz w:val="16"/>
                <w:vertAlign w:val="subscript"/>
              </w:rPr>
              <w:t>2.5</w:t>
            </w:r>
            <w:r>
              <w:rPr>
                <w:rFonts w:ascii="Calibri" w:hAnsi="Calibri" w:eastAsia="Calibri"/>
                <w:b w:val="0"/>
                <w:i w:val="0"/>
                <w:color w:val="324D59"/>
                <w:sz w:val="16"/>
              </w:rPr>
              <w:t xml:space="preserve">  O</w:t>
            </w:r>
            <w:r>
              <w:rPr>
                <w:rFonts w:ascii="Calibri" w:hAnsi="Calibri" w:eastAsia="Calibri"/>
                <w:b w:val="0"/>
                <w:i w:val="0"/>
                <w:color w:val="324D59"/>
                <w:sz w:val="16"/>
                <w:vertAlign w:val="subscript"/>
              </w:rPr>
              <w:t>3</w:t>
            </w:r>
            <w:r>
              <w:rPr>
                <w:rFonts w:ascii="Calibri" w:hAnsi="Calibri" w:eastAsia="Calibri"/>
                <w:b w:val="0"/>
                <w:i w:val="0"/>
                <w:color w:val="324D59"/>
                <w:sz w:val="16"/>
              </w:rPr>
              <w:t xml:space="preserve">  SO</w:t>
            </w:r>
            <w:r>
              <w:rPr>
                <w:rFonts w:ascii="Calibri" w:hAnsi="Calibri" w:eastAsia="Calibri"/>
                <w:b w:val="0"/>
                <w:i w:val="0"/>
                <w:color w:val="324D59"/>
                <w:sz w:val="16"/>
                <w:vertAlign w:val="subscript"/>
              </w:rPr>
              <w:t>2</w:t>
            </w:r>
            <w:r>
              <w:rPr>
                <w:rFonts w:ascii="Calibri" w:hAnsi="Calibri" w:eastAsia="Calibri"/>
                <w:b w:val="0"/>
                <w:i w:val="0"/>
                <w:color w:val="324D59"/>
                <w:sz w:val="16"/>
              </w:rPr>
              <w:t xml:space="preserve">  NO</w:t>
            </w:r>
            <w:r>
              <w:rPr>
                <w:rFonts w:ascii="Calibri" w:hAnsi="Calibri" w:eastAsia="Calibri"/>
                <w:b w:val="0"/>
                <w:i w:val="0"/>
                <w:color w:val="324D59"/>
                <w:sz w:val="16"/>
                <w:vertAlign w:val="subscript"/>
              </w:rPr>
              <w:t>2</w:t>
            </w:r>
            <w:r>
              <w:rPr>
                <w:rFonts w:ascii="Calibri" w:hAnsi="Calibri" w:eastAsia="Calibri"/>
                <w:b w:val="0"/>
                <w:i w:val="0"/>
                <w:color w:val="324D59"/>
                <w:sz w:val="16"/>
              </w:rPr>
              <w:t xml:space="preserve">  CO</w:t>
            </w:r>
          </w:p>
        </w:tc>
      </w:tr>
      <w:tr>
        <w:tc>
          <w:tcPr>
            <w:tcW w:type="dxa" w:w="1852"/>
            <w:shd w:val="clear" w:color="auto" w:fill="FFFFFF"/>
          </w:tcPr>
          <w:p>
            <w:pPr>
              <w:spacing w:after="0"/>
            </w:pPr>
            <w:r>
              <w:rPr>
                <w:rFonts w:ascii="Calibri" w:hAnsi="Calibri" w:eastAsia="Calibri"/>
                <w:b/>
                <w:i w:val="0"/>
                <w:color w:val="173D4C"/>
                <w:sz w:val="16"/>
              </w:rPr>
              <w:t>Loma Dorada</w:t>
            </w:r>
            <w:r>
              <w:br/>
            </w:r>
            <w:r>
              <w:rPr>
                <w:rFonts w:ascii="Calibri" w:hAnsi="Calibri" w:eastAsia="Calibri"/>
                <w:b/>
                <w:i w:val="0"/>
                <w:color w:val="6C8894"/>
                <w:sz w:val="16"/>
              </w:rPr>
              <w:t>LDO</w:t>
            </w:r>
          </w:p>
        </w:tc>
        <w:tc>
          <w:tcPr>
            <w:tcW w:type="dxa" w:w="1949"/>
            <w:shd w:val="clear" w:color="auto" w:fill="FFFFFF"/>
          </w:tcPr>
          <w:p>
            <w:pPr>
              <w:spacing w:after="0"/>
            </w:pPr>
            <w:r>
              <w:rPr>
                <w:rFonts w:ascii="Calibri" w:hAnsi="Calibri" w:eastAsia="Calibri"/>
                <w:b w:val="0"/>
                <w:i w:val="0"/>
                <w:color w:val="324D59"/>
                <w:sz w:val="16"/>
              </w:rPr>
              <w:t>Tonalá</w:t>
            </w:r>
          </w:p>
        </w:tc>
        <w:tc>
          <w:tcPr>
            <w:tcW w:type="dxa" w:w="1462"/>
            <w:shd w:val="clear" w:color="auto" w:fill="FFFFFF"/>
          </w:tcPr>
          <w:p>
            <w:pPr>
              <w:spacing w:after="0"/>
              <w:jc w:val="center"/>
            </w:pPr>
            <w:r>
              <w:rPr>
                <w:rFonts w:ascii="Calibri" w:hAnsi="Calibri" w:eastAsia="Calibri"/>
                <w:b w:val="0"/>
                <w:i w:val="0"/>
                <w:color w:val="324D59"/>
                <w:sz w:val="16"/>
              </w:rPr>
              <w:t>1993</w:t>
            </w:r>
          </w:p>
        </w:tc>
        <w:tc>
          <w:tcPr>
            <w:tcW w:type="dxa" w:w="4483"/>
            <w:shd w:val="clear" w:color="auto" w:fill="FFFFFF"/>
          </w:tcPr>
          <w:p>
            <w:pPr>
              <w:spacing w:after="0"/>
            </w:pPr>
            <w:r>
              <w:rPr>
                <w:rFonts w:ascii="Calibri" w:hAnsi="Calibri" w:eastAsia="Calibri"/>
                <w:b w:val="0"/>
                <w:i w:val="0"/>
                <w:color w:val="324D59"/>
                <w:sz w:val="16"/>
              </w:rPr>
              <w:t>PM</w:t>
            </w:r>
            <w:r>
              <w:rPr>
                <w:rFonts w:ascii="Calibri" w:hAnsi="Calibri" w:eastAsia="Calibri"/>
                <w:b w:val="0"/>
                <w:i w:val="0"/>
                <w:color w:val="324D59"/>
                <w:sz w:val="16"/>
                <w:vertAlign w:val="subscript"/>
              </w:rPr>
              <w:t>10</w:t>
            </w:r>
            <w:r>
              <w:rPr>
                <w:rFonts w:ascii="Calibri" w:hAnsi="Calibri" w:eastAsia="Calibri"/>
                <w:b w:val="0"/>
                <w:i w:val="0"/>
                <w:color w:val="324D59"/>
                <w:sz w:val="16"/>
              </w:rPr>
              <w:t xml:space="preserve">  PM</w:t>
            </w:r>
            <w:r>
              <w:rPr>
                <w:rFonts w:ascii="Calibri" w:hAnsi="Calibri" w:eastAsia="Calibri"/>
                <w:b w:val="0"/>
                <w:i w:val="0"/>
                <w:color w:val="324D59"/>
                <w:sz w:val="16"/>
                <w:vertAlign w:val="subscript"/>
              </w:rPr>
              <w:t>2.5</w:t>
            </w:r>
            <w:r>
              <w:rPr>
                <w:rFonts w:ascii="Calibri" w:hAnsi="Calibri" w:eastAsia="Calibri"/>
                <w:b w:val="0"/>
                <w:i w:val="0"/>
                <w:color w:val="324D59"/>
                <w:sz w:val="16"/>
              </w:rPr>
              <w:t xml:space="preserve">  O</w:t>
            </w:r>
            <w:r>
              <w:rPr>
                <w:rFonts w:ascii="Calibri" w:hAnsi="Calibri" w:eastAsia="Calibri"/>
                <w:b w:val="0"/>
                <w:i w:val="0"/>
                <w:color w:val="324D59"/>
                <w:sz w:val="16"/>
                <w:vertAlign w:val="subscript"/>
              </w:rPr>
              <w:t>3</w:t>
            </w:r>
            <w:r>
              <w:rPr>
                <w:rFonts w:ascii="Calibri" w:hAnsi="Calibri" w:eastAsia="Calibri"/>
                <w:b w:val="0"/>
                <w:i w:val="0"/>
                <w:color w:val="324D59"/>
                <w:sz w:val="16"/>
              </w:rPr>
              <w:t xml:space="preserve">  SO</w:t>
            </w:r>
            <w:r>
              <w:rPr>
                <w:rFonts w:ascii="Calibri" w:hAnsi="Calibri" w:eastAsia="Calibri"/>
                <w:b w:val="0"/>
                <w:i w:val="0"/>
                <w:color w:val="324D59"/>
                <w:sz w:val="16"/>
                <w:vertAlign w:val="subscript"/>
              </w:rPr>
              <w:t>2</w:t>
            </w:r>
            <w:r>
              <w:rPr>
                <w:rFonts w:ascii="Calibri" w:hAnsi="Calibri" w:eastAsia="Calibri"/>
                <w:b w:val="0"/>
                <w:i w:val="0"/>
                <w:color w:val="324D59"/>
                <w:sz w:val="16"/>
              </w:rPr>
              <w:t xml:space="preserve">  NO</w:t>
            </w:r>
            <w:r>
              <w:rPr>
                <w:rFonts w:ascii="Calibri" w:hAnsi="Calibri" w:eastAsia="Calibri"/>
                <w:b w:val="0"/>
                <w:i w:val="0"/>
                <w:color w:val="324D59"/>
                <w:sz w:val="16"/>
                <w:vertAlign w:val="subscript"/>
              </w:rPr>
              <w:t>2</w:t>
            </w:r>
            <w:r>
              <w:rPr>
                <w:rFonts w:ascii="Calibri" w:hAnsi="Calibri" w:eastAsia="Calibri"/>
                <w:b w:val="0"/>
                <w:i w:val="0"/>
                <w:color w:val="324D59"/>
                <w:sz w:val="16"/>
              </w:rPr>
              <w:t xml:space="preserve">  CO</w:t>
            </w:r>
          </w:p>
        </w:tc>
      </w:tr>
      <w:tr>
        <w:tc>
          <w:tcPr>
            <w:tcW w:type="dxa" w:w="1852"/>
            <w:shd w:val="clear" w:color="auto" w:fill="E3E9EC"/>
          </w:tcPr>
          <w:p>
            <w:pPr>
              <w:spacing w:after="0"/>
            </w:pPr>
            <w:r>
              <w:rPr>
                <w:rFonts w:ascii="Calibri" w:hAnsi="Calibri" w:eastAsia="Calibri"/>
                <w:b/>
                <w:i w:val="0"/>
                <w:color w:val="173D4C"/>
                <w:sz w:val="16"/>
              </w:rPr>
              <w:t>Miravalle</w:t>
            </w:r>
            <w:r>
              <w:br/>
            </w:r>
            <w:r>
              <w:rPr>
                <w:rFonts w:ascii="Calibri" w:hAnsi="Calibri" w:eastAsia="Calibri"/>
                <w:b/>
                <w:i w:val="0"/>
                <w:color w:val="6C8894"/>
                <w:sz w:val="16"/>
              </w:rPr>
              <w:t>MIR</w:t>
            </w:r>
          </w:p>
        </w:tc>
        <w:tc>
          <w:tcPr>
            <w:tcW w:type="dxa" w:w="1949"/>
            <w:shd w:val="clear" w:color="auto" w:fill="E3E9EC"/>
          </w:tcPr>
          <w:p>
            <w:pPr>
              <w:spacing w:after="0"/>
            </w:pPr>
            <w:r>
              <w:rPr>
                <w:rFonts w:ascii="Calibri" w:hAnsi="Calibri" w:eastAsia="Calibri"/>
                <w:b w:val="0"/>
                <w:i w:val="0"/>
                <w:color w:val="324D59"/>
                <w:sz w:val="16"/>
              </w:rPr>
              <w:t>Guadalajara</w:t>
            </w:r>
          </w:p>
        </w:tc>
        <w:tc>
          <w:tcPr>
            <w:tcW w:type="dxa" w:w="1462"/>
            <w:shd w:val="clear" w:color="auto" w:fill="E3E9EC"/>
          </w:tcPr>
          <w:p>
            <w:pPr>
              <w:spacing w:after="0"/>
              <w:jc w:val="center"/>
            </w:pPr>
            <w:r>
              <w:rPr>
                <w:rFonts w:ascii="Calibri" w:hAnsi="Calibri" w:eastAsia="Calibri"/>
                <w:b w:val="0"/>
                <w:i w:val="0"/>
                <w:color w:val="324D59"/>
                <w:sz w:val="16"/>
              </w:rPr>
              <w:t>1993</w:t>
            </w:r>
          </w:p>
        </w:tc>
        <w:tc>
          <w:tcPr>
            <w:tcW w:type="dxa" w:w="4483"/>
            <w:shd w:val="clear" w:color="auto" w:fill="E3E9EC"/>
          </w:tcPr>
          <w:p>
            <w:pPr>
              <w:spacing w:after="0"/>
            </w:pPr>
            <w:r>
              <w:rPr>
                <w:rFonts w:ascii="Calibri" w:hAnsi="Calibri" w:eastAsia="Calibri"/>
                <w:b w:val="0"/>
                <w:i w:val="0"/>
                <w:color w:val="324D59"/>
                <w:sz w:val="16"/>
              </w:rPr>
              <w:t>PM</w:t>
            </w:r>
            <w:r>
              <w:rPr>
                <w:rFonts w:ascii="Calibri" w:hAnsi="Calibri" w:eastAsia="Calibri"/>
                <w:b w:val="0"/>
                <w:i w:val="0"/>
                <w:color w:val="324D59"/>
                <w:sz w:val="16"/>
                <w:vertAlign w:val="subscript"/>
              </w:rPr>
              <w:t>10</w:t>
            </w:r>
            <w:r>
              <w:rPr>
                <w:rFonts w:ascii="Calibri" w:hAnsi="Calibri" w:eastAsia="Calibri"/>
                <w:b w:val="0"/>
                <w:i w:val="0"/>
                <w:color w:val="324D59"/>
                <w:sz w:val="16"/>
              </w:rPr>
              <w:t xml:space="preserve">  PM</w:t>
            </w:r>
            <w:r>
              <w:rPr>
                <w:rFonts w:ascii="Calibri" w:hAnsi="Calibri" w:eastAsia="Calibri"/>
                <w:b w:val="0"/>
                <w:i w:val="0"/>
                <w:color w:val="324D59"/>
                <w:sz w:val="16"/>
                <w:vertAlign w:val="subscript"/>
              </w:rPr>
              <w:t>2.5</w:t>
            </w:r>
            <w:r>
              <w:rPr>
                <w:rFonts w:ascii="Calibri" w:hAnsi="Calibri" w:eastAsia="Calibri"/>
                <w:b w:val="0"/>
                <w:i w:val="0"/>
                <w:color w:val="324D59"/>
                <w:sz w:val="16"/>
              </w:rPr>
              <w:t xml:space="preserve">  O</w:t>
            </w:r>
            <w:r>
              <w:rPr>
                <w:rFonts w:ascii="Calibri" w:hAnsi="Calibri" w:eastAsia="Calibri"/>
                <w:b w:val="0"/>
                <w:i w:val="0"/>
                <w:color w:val="324D59"/>
                <w:sz w:val="16"/>
                <w:vertAlign w:val="subscript"/>
              </w:rPr>
              <w:t>3</w:t>
            </w:r>
            <w:r>
              <w:rPr>
                <w:rFonts w:ascii="Calibri" w:hAnsi="Calibri" w:eastAsia="Calibri"/>
                <w:b w:val="0"/>
                <w:i w:val="0"/>
                <w:color w:val="324D59"/>
                <w:sz w:val="16"/>
              </w:rPr>
              <w:t xml:space="preserve">  SO</w:t>
            </w:r>
            <w:r>
              <w:rPr>
                <w:rFonts w:ascii="Calibri" w:hAnsi="Calibri" w:eastAsia="Calibri"/>
                <w:b w:val="0"/>
                <w:i w:val="0"/>
                <w:color w:val="324D59"/>
                <w:sz w:val="16"/>
                <w:vertAlign w:val="subscript"/>
              </w:rPr>
              <w:t>2</w:t>
            </w:r>
            <w:r>
              <w:rPr>
                <w:rFonts w:ascii="Calibri" w:hAnsi="Calibri" w:eastAsia="Calibri"/>
                <w:b w:val="0"/>
                <w:i w:val="0"/>
                <w:color w:val="324D59"/>
                <w:sz w:val="16"/>
              </w:rPr>
              <w:t xml:space="preserve">  NO</w:t>
            </w:r>
            <w:r>
              <w:rPr>
                <w:rFonts w:ascii="Calibri" w:hAnsi="Calibri" w:eastAsia="Calibri"/>
                <w:b w:val="0"/>
                <w:i w:val="0"/>
                <w:color w:val="324D59"/>
                <w:sz w:val="16"/>
                <w:vertAlign w:val="subscript"/>
              </w:rPr>
              <w:t>2</w:t>
            </w:r>
            <w:r>
              <w:rPr>
                <w:rFonts w:ascii="Calibri" w:hAnsi="Calibri" w:eastAsia="Calibri"/>
                <w:b w:val="0"/>
                <w:i w:val="0"/>
                <w:color w:val="324D59"/>
                <w:sz w:val="16"/>
              </w:rPr>
              <w:t xml:space="preserve">  CO</w:t>
            </w:r>
          </w:p>
        </w:tc>
      </w:tr>
      <w:tr>
        <w:tc>
          <w:tcPr>
            <w:tcW w:type="dxa" w:w="1852"/>
            <w:shd w:val="clear" w:color="auto" w:fill="FFFFFF"/>
          </w:tcPr>
          <w:p>
            <w:pPr>
              <w:spacing w:after="0"/>
            </w:pPr>
            <w:r>
              <w:rPr>
                <w:rFonts w:ascii="Calibri" w:hAnsi="Calibri" w:eastAsia="Calibri"/>
                <w:b/>
                <w:i w:val="0"/>
                <w:color w:val="173D4C"/>
                <w:sz w:val="16"/>
              </w:rPr>
              <w:t>Oblatos</w:t>
            </w:r>
            <w:r>
              <w:br/>
            </w:r>
            <w:r>
              <w:rPr>
                <w:rFonts w:ascii="Calibri" w:hAnsi="Calibri" w:eastAsia="Calibri"/>
                <w:b/>
                <w:i w:val="0"/>
                <w:color w:val="6C8894"/>
                <w:sz w:val="16"/>
              </w:rPr>
              <w:t>OBL</w:t>
            </w:r>
          </w:p>
        </w:tc>
        <w:tc>
          <w:tcPr>
            <w:tcW w:type="dxa" w:w="1949"/>
            <w:shd w:val="clear" w:color="auto" w:fill="FFFFFF"/>
          </w:tcPr>
          <w:p>
            <w:pPr>
              <w:spacing w:after="0"/>
            </w:pPr>
            <w:r>
              <w:rPr>
                <w:rFonts w:ascii="Calibri" w:hAnsi="Calibri" w:eastAsia="Calibri"/>
                <w:b w:val="0"/>
                <w:i w:val="0"/>
                <w:color w:val="324D59"/>
                <w:sz w:val="16"/>
              </w:rPr>
              <w:t>Guadalajara</w:t>
            </w:r>
          </w:p>
        </w:tc>
        <w:tc>
          <w:tcPr>
            <w:tcW w:type="dxa" w:w="1462"/>
            <w:shd w:val="clear" w:color="auto" w:fill="FFFFFF"/>
          </w:tcPr>
          <w:p>
            <w:pPr>
              <w:spacing w:after="0"/>
              <w:jc w:val="center"/>
            </w:pPr>
            <w:r>
              <w:rPr>
                <w:rFonts w:ascii="Calibri" w:hAnsi="Calibri" w:eastAsia="Calibri"/>
                <w:b w:val="0"/>
                <w:i w:val="0"/>
                <w:color w:val="324D59"/>
                <w:sz w:val="16"/>
              </w:rPr>
              <w:t>1993</w:t>
            </w:r>
          </w:p>
        </w:tc>
        <w:tc>
          <w:tcPr>
            <w:tcW w:type="dxa" w:w="4483"/>
            <w:shd w:val="clear" w:color="auto" w:fill="FFFFFF"/>
          </w:tcPr>
          <w:p>
            <w:pPr>
              <w:spacing w:after="0"/>
            </w:pPr>
            <w:r>
              <w:rPr>
                <w:rFonts w:ascii="Calibri" w:hAnsi="Calibri" w:eastAsia="Calibri"/>
                <w:b w:val="0"/>
                <w:i w:val="0"/>
                <w:color w:val="324D59"/>
                <w:sz w:val="16"/>
              </w:rPr>
              <w:t>PM</w:t>
            </w:r>
            <w:r>
              <w:rPr>
                <w:rFonts w:ascii="Calibri" w:hAnsi="Calibri" w:eastAsia="Calibri"/>
                <w:b w:val="0"/>
                <w:i w:val="0"/>
                <w:color w:val="324D59"/>
                <w:sz w:val="16"/>
                <w:vertAlign w:val="subscript"/>
              </w:rPr>
              <w:t>10</w:t>
            </w:r>
            <w:r>
              <w:rPr>
                <w:rFonts w:ascii="Calibri" w:hAnsi="Calibri" w:eastAsia="Calibri"/>
                <w:b w:val="0"/>
                <w:i w:val="0"/>
                <w:color w:val="324D59"/>
                <w:sz w:val="16"/>
              </w:rPr>
              <w:t xml:space="preserve">  PM</w:t>
            </w:r>
            <w:r>
              <w:rPr>
                <w:rFonts w:ascii="Calibri" w:hAnsi="Calibri" w:eastAsia="Calibri"/>
                <w:b w:val="0"/>
                <w:i w:val="0"/>
                <w:color w:val="324D59"/>
                <w:sz w:val="16"/>
                <w:vertAlign w:val="subscript"/>
              </w:rPr>
              <w:t>2.5</w:t>
            </w:r>
            <w:r>
              <w:rPr>
                <w:rFonts w:ascii="Calibri" w:hAnsi="Calibri" w:eastAsia="Calibri"/>
                <w:b w:val="0"/>
                <w:i w:val="0"/>
                <w:color w:val="324D59"/>
                <w:sz w:val="16"/>
              </w:rPr>
              <w:t xml:space="preserve">  O</w:t>
            </w:r>
            <w:r>
              <w:rPr>
                <w:rFonts w:ascii="Calibri" w:hAnsi="Calibri" w:eastAsia="Calibri"/>
                <w:b w:val="0"/>
                <w:i w:val="0"/>
                <w:color w:val="324D59"/>
                <w:sz w:val="16"/>
                <w:vertAlign w:val="subscript"/>
              </w:rPr>
              <w:t>3</w:t>
            </w:r>
            <w:r>
              <w:rPr>
                <w:rFonts w:ascii="Calibri" w:hAnsi="Calibri" w:eastAsia="Calibri"/>
                <w:b w:val="0"/>
                <w:i w:val="0"/>
                <w:color w:val="324D59"/>
                <w:sz w:val="16"/>
              </w:rPr>
              <w:t xml:space="preserve">  SO</w:t>
            </w:r>
            <w:r>
              <w:rPr>
                <w:rFonts w:ascii="Calibri" w:hAnsi="Calibri" w:eastAsia="Calibri"/>
                <w:b w:val="0"/>
                <w:i w:val="0"/>
                <w:color w:val="324D59"/>
                <w:sz w:val="16"/>
                <w:vertAlign w:val="subscript"/>
              </w:rPr>
              <w:t>2</w:t>
            </w:r>
            <w:r>
              <w:rPr>
                <w:rFonts w:ascii="Calibri" w:hAnsi="Calibri" w:eastAsia="Calibri"/>
                <w:b w:val="0"/>
                <w:i w:val="0"/>
                <w:color w:val="324D59"/>
                <w:sz w:val="16"/>
              </w:rPr>
              <w:t xml:space="preserve">  NO</w:t>
            </w:r>
            <w:r>
              <w:rPr>
                <w:rFonts w:ascii="Calibri" w:hAnsi="Calibri" w:eastAsia="Calibri"/>
                <w:b w:val="0"/>
                <w:i w:val="0"/>
                <w:color w:val="324D59"/>
                <w:sz w:val="16"/>
                <w:vertAlign w:val="subscript"/>
              </w:rPr>
              <w:t>2</w:t>
            </w:r>
            <w:r>
              <w:rPr>
                <w:rFonts w:ascii="Calibri" w:hAnsi="Calibri" w:eastAsia="Calibri"/>
                <w:b w:val="0"/>
                <w:i w:val="0"/>
                <w:color w:val="324D59"/>
                <w:sz w:val="16"/>
              </w:rPr>
              <w:t xml:space="preserve">  CO</w:t>
            </w:r>
          </w:p>
        </w:tc>
      </w:tr>
      <w:tr>
        <w:tc>
          <w:tcPr>
            <w:tcW w:type="dxa" w:w="1852"/>
            <w:shd w:val="clear" w:color="auto" w:fill="E3E9EC"/>
          </w:tcPr>
          <w:p>
            <w:pPr>
              <w:spacing w:after="0"/>
            </w:pPr>
            <w:r>
              <w:rPr>
                <w:rFonts w:ascii="Calibri" w:hAnsi="Calibri" w:eastAsia="Calibri"/>
                <w:b/>
                <w:i w:val="0"/>
                <w:color w:val="173D4C"/>
                <w:sz w:val="16"/>
              </w:rPr>
              <w:t>Pintas</w:t>
            </w:r>
            <w:r>
              <w:br/>
            </w:r>
            <w:r>
              <w:rPr>
                <w:rFonts w:ascii="Calibri" w:hAnsi="Calibri" w:eastAsia="Calibri"/>
                <w:b/>
                <w:i w:val="0"/>
                <w:color w:val="6C8894"/>
                <w:sz w:val="16"/>
              </w:rPr>
              <w:t>PIN</w:t>
            </w:r>
          </w:p>
        </w:tc>
        <w:tc>
          <w:tcPr>
            <w:tcW w:type="dxa" w:w="1949"/>
            <w:shd w:val="clear" w:color="auto" w:fill="E3E9EC"/>
          </w:tcPr>
          <w:p>
            <w:pPr>
              <w:spacing w:after="0"/>
            </w:pPr>
            <w:r>
              <w:rPr>
                <w:rFonts w:ascii="Calibri" w:hAnsi="Calibri" w:eastAsia="Calibri"/>
                <w:b w:val="0"/>
                <w:i w:val="0"/>
                <w:color w:val="324D59"/>
                <w:sz w:val="16"/>
              </w:rPr>
              <w:t>El Salto</w:t>
            </w:r>
          </w:p>
        </w:tc>
        <w:tc>
          <w:tcPr>
            <w:tcW w:type="dxa" w:w="1462"/>
            <w:shd w:val="clear" w:color="auto" w:fill="E3E9EC"/>
          </w:tcPr>
          <w:p>
            <w:pPr>
              <w:spacing w:after="0"/>
              <w:jc w:val="center"/>
            </w:pPr>
            <w:r>
              <w:rPr>
                <w:rFonts w:ascii="Calibri" w:hAnsi="Calibri" w:eastAsia="Calibri"/>
                <w:b w:val="0"/>
                <w:i w:val="0"/>
                <w:color w:val="324D59"/>
                <w:sz w:val="16"/>
              </w:rPr>
              <w:t>2011</w:t>
            </w:r>
          </w:p>
        </w:tc>
        <w:tc>
          <w:tcPr>
            <w:tcW w:type="dxa" w:w="4483"/>
            <w:shd w:val="clear" w:color="auto" w:fill="E3E9EC"/>
          </w:tcPr>
          <w:p>
            <w:pPr>
              <w:spacing w:after="0"/>
            </w:pPr>
            <w:r>
              <w:rPr>
                <w:rFonts w:ascii="Calibri" w:hAnsi="Calibri" w:eastAsia="Calibri"/>
                <w:b w:val="0"/>
                <w:i w:val="0"/>
                <w:color w:val="324D59"/>
                <w:sz w:val="16"/>
              </w:rPr>
              <w:t>PM</w:t>
            </w:r>
            <w:r>
              <w:rPr>
                <w:rFonts w:ascii="Calibri" w:hAnsi="Calibri" w:eastAsia="Calibri"/>
                <w:b w:val="0"/>
                <w:i w:val="0"/>
                <w:color w:val="324D59"/>
                <w:sz w:val="16"/>
                <w:vertAlign w:val="subscript"/>
              </w:rPr>
              <w:t>10</w:t>
            </w:r>
            <w:r>
              <w:rPr>
                <w:rFonts w:ascii="Calibri" w:hAnsi="Calibri" w:eastAsia="Calibri"/>
                <w:b w:val="0"/>
                <w:i w:val="0"/>
                <w:color w:val="324D59"/>
                <w:sz w:val="16"/>
              </w:rPr>
              <w:t xml:space="preserve">  PM</w:t>
            </w:r>
            <w:r>
              <w:rPr>
                <w:rFonts w:ascii="Calibri" w:hAnsi="Calibri" w:eastAsia="Calibri"/>
                <w:b w:val="0"/>
                <w:i w:val="0"/>
                <w:color w:val="324D59"/>
                <w:sz w:val="16"/>
                <w:vertAlign w:val="subscript"/>
              </w:rPr>
              <w:t>2.5</w:t>
            </w:r>
            <w:r>
              <w:rPr>
                <w:rFonts w:ascii="Calibri" w:hAnsi="Calibri" w:eastAsia="Calibri"/>
                <w:b w:val="0"/>
                <w:i w:val="0"/>
                <w:color w:val="324D59"/>
                <w:sz w:val="16"/>
              </w:rPr>
              <w:t xml:space="preserve">  O</w:t>
            </w:r>
            <w:r>
              <w:rPr>
                <w:rFonts w:ascii="Calibri" w:hAnsi="Calibri" w:eastAsia="Calibri"/>
                <w:b w:val="0"/>
                <w:i w:val="0"/>
                <w:color w:val="324D59"/>
                <w:sz w:val="16"/>
                <w:vertAlign w:val="subscript"/>
              </w:rPr>
              <w:t>3</w:t>
            </w:r>
            <w:r>
              <w:rPr>
                <w:rFonts w:ascii="Calibri" w:hAnsi="Calibri" w:eastAsia="Calibri"/>
                <w:b w:val="0"/>
                <w:i w:val="0"/>
                <w:color w:val="324D59"/>
                <w:sz w:val="16"/>
              </w:rPr>
              <w:t xml:space="preserve">  SO</w:t>
            </w:r>
            <w:r>
              <w:rPr>
                <w:rFonts w:ascii="Calibri" w:hAnsi="Calibri" w:eastAsia="Calibri"/>
                <w:b w:val="0"/>
                <w:i w:val="0"/>
                <w:color w:val="324D59"/>
                <w:sz w:val="16"/>
                <w:vertAlign w:val="subscript"/>
              </w:rPr>
              <w:t>2</w:t>
            </w:r>
            <w:r>
              <w:rPr>
                <w:rFonts w:ascii="Calibri" w:hAnsi="Calibri" w:eastAsia="Calibri"/>
                <w:b w:val="0"/>
                <w:i w:val="0"/>
                <w:color w:val="324D59"/>
                <w:sz w:val="16"/>
              </w:rPr>
              <w:t xml:space="preserve">  NO</w:t>
            </w:r>
            <w:r>
              <w:rPr>
                <w:rFonts w:ascii="Calibri" w:hAnsi="Calibri" w:eastAsia="Calibri"/>
                <w:b w:val="0"/>
                <w:i w:val="0"/>
                <w:color w:val="324D59"/>
                <w:sz w:val="16"/>
                <w:vertAlign w:val="subscript"/>
              </w:rPr>
              <w:t>2</w:t>
            </w:r>
            <w:r>
              <w:rPr>
                <w:rFonts w:ascii="Calibri" w:hAnsi="Calibri" w:eastAsia="Calibri"/>
                <w:b w:val="0"/>
                <w:i w:val="0"/>
                <w:color w:val="324D59"/>
                <w:sz w:val="16"/>
              </w:rPr>
              <w:t xml:space="preserve">  CO</w:t>
            </w:r>
          </w:p>
        </w:tc>
      </w:tr>
      <w:tr>
        <w:tc>
          <w:tcPr>
            <w:tcW w:type="dxa" w:w="1852"/>
            <w:shd w:val="clear" w:color="auto" w:fill="FFFFFF"/>
          </w:tcPr>
          <w:p>
            <w:pPr>
              <w:spacing w:after="0"/>
            </w:pPr>
            <w:r>
              <w:rPr>
                <w:rFonts w:ascii="Calibri" w:hAnsi="Calibri" w:eastAsia="Calibri"/>
                <w:b/>
                <w:i w:val="0"/>
                <w:color w:val="173D4C"/>
                <w:sz w:val="16"/>
              </w:rPr>
              <w:t>Santa Anita*</w:t>
            </w:r>
            <w:r>
              <w:br/>
            </w:r>
            <w:r>
              <w:rPr>
                <w:rFonts w:ascii="Calibri" w:hAnsi="Calibri" w:eastAsia="Calibri"/>
                <w:b/>
                <w:i w:val="0"/>
                <w:color w:val="6C8894"/>
                <w:sz w:val="16"/>
              </w:rPr>
              <w:t>SAN</w:t>
            </w:r>
          </w:p>
        </w:tc>
        <w:tc>
          <w:tcPr>
            <w:tcW w:type="dxa" w:w="1949"/>
            <w:shd w:val="clear" w:color="auto" w:fill="FFFFFF"/>
          </w:tcPr>
          <w:p>
            <w:pPr>
              <w:spacing w:after="0"/>
            </w:pPr>
            <w:r>
              <w:rPr>
                <w:rFonts w:ascii="Calibri" w:hAnsi="Calibri" w:eastAsia="Calibri"/>
                <w:b w:val="0"/>
                <w:i w:val="0"/>
                <w:color w:val="324D59"/>
                <w:sz w:val="16"/>
              </w:rPr>
              <w:t>Tlajomulco de Zúñiga</w:t>
            </w:r>
          </w:p>
        </w:tc>
        <w:tc>
          <w:tcPr>
            <w:tcW w:type="dxa" w:w="1462"/>
            <w:shd w:val="clear" w:color="auto" w:fill="FFFFFF"/>
          </w:tcPr>
          <w:p>
            <w:pPr>
              <w:spacing w:after="0"/>
              <w:jc w:val="center"/>
            </w:pPr>
            <w:r>
              <w:rPr>
                <w:rFonts w:ascii="Calibri" w:hAnsi="Calibri" w:eastAsia="Calibri"/>
                <w:b w:val="0"/>
                <w:i w:val="0"/>
                <w:color w:val="324D59"/>
                <w:sz w:val="16"/>
              </w:rPr>
              <w:t>2024</w:t>
            </w:r>
          </w:p>
        </w:tc>
        <w:tc>
          <w:tcPr>
            <w:tcW w:type="dxa" w:w="4483"/>
            <w:shd w:val="clear" w:color="auto" w:fill="FFFFFF"/>
          </w:tcPr>
          <w:p>
            <w:pPr>
              <w:spacing w:after="0"/>
            </w:pPr>
            <w:r>
              <w:rPr>
                <w:rFonts w:ascii="Calibri" w:hAnsi="Calibri" w:eastAsia="Calibri"/>
                <w:b w:val="0"/>
                <w:i w:val="0"/>
                <w:color w:val="324D59"/>
                <w:sz w:val="16"/>
              </w:rPr>
              <w:t>PM</w:t>
            </w:r>
            <w:r>
              <w:rPr>
                <w:rFonts w:ascii="Calibri" w:hAnsi="Calibri" w:eastAsia="Calibri"/>
                <w:b w:val="0"/>
                <w:i w:val="0"/>
                <w:color w:val="324D59"/>
                <w:sz w:val="16"/>
                <w:vertAlign w:val="subscript"/>
              </w:rPr>
              <w:t>10</w:t>
            </w:r>
            <w:r>
              <w:rPr>
                <w:rFonts w:ascii="Calibri" w:hAnsi="Calibri" w:eastAsia="Calibri"/>
                <w:b w:val="0"/>
                <w:i w:val="0"/>
                <w:color w:val="324D59"/>
                <w:sz w:val="16"/>
              </w:rPr>
              <w:t xml:space="preserve">  PM</w:t>
            </w:r>
            <w:r>
              <w:rPr>
                <w:rFonts w:ascii="Calibri" w:hAnsi="Calibri" w:eastAsia="Calibri"/>
                <w:b w:val="0"/>
                <w:i w:val="0"/>
                <w:color w:val="324D59"/>
                <w:sz w:val="16"/>
                <w:vertAlign w:val="subscript"/>
              </w:rPr>
              <w:t>2.5</w:t>
            </w:r>
            <w:r>
              <w:rPr>
                <w:rFonts w:ascii="Calibri" w:hAnsi="Calibri" w:eastAsia="Calibri"/>
                <w:b w:val="0"/>
                <w:i w:val="0"/>
                <w:color w:val="324D59"/>
                <w:sz w:val="16"/>
              </w:rPr>
              <w:t xml:space="preserve">  O</w:t>
            </w:r>
            <w:r>
              <w:rPr>
                <w:rFonts w:ascii="Calibri" w:hAnsi="Calibri" w:eastAsia="Calibri"/>
                <w:b w:val="0"/>
                <w:i w:val="0"/>
                <w:color w:val="324D59"/>
                <w:sz w:val="16"/>
                <w:vertAlign w:val="subscript"/>
              </w:rPr>
              <w:t>3</w:t>
            </w:r>
            <w:r>
              <w:rPr>
                <w:rFonts w:ascii="Calibri" w:hAnsi="Calibri" w:eastAsia="Calibri"/>
                <w:b w:val="0"/>
                <w:i w:val="0"/>
                <w:color w:val="324D59"/>
                <w:sz w:val="16"/>
              </w:rPr>
              <w:t xml:space="preserve">  SO</w:t>
            </w:r>
            <w:r>
              <w:rPr>
                <w:rFonts w:ascii="Calibri" w:hAnsi="Calibri" w:eastAsia="Calibri"/>
                <w:b w:val="0"/>
                <w:i w:val="0"/>
                <w:color w:val="324D59"/>
                <w:sz w:val="16"/>
                <w:vertAlign w:val="subscript"/>
              </w:rPr>
              <w:t>2</w:t>
            </w:r>
            <w:r>
              <w:rPr>
                <w:rFonts w:ascii="Calibri" w:hAnsi="Calibri" w:eastAsia="Calibri"/>
                <w:b w:val="0"/>
                <w:i w:val="0"/>
                <w:color w:val="324D59"/>
                <w:sz w:val="16"/>
              </w:rPr>
              <w:t xml:space="preserve">  NO</w:t>
            </w:r>
            <w:r>
              <w:rPr>
                <w:rFonts w:ascii="Calibri" w:hAnsi="Calibri" w:eastAsia="Calibri"/>
                <w:b w:val="0"/>
                <w:i w:val="0"/>
                <w:color w:val="324D59"/>
                <w:sz w:val="16"/>
                <w:vertAlign w:val="subscript"/>
              </w:rPr>
              <w:t>2</w:t>
            </w:r>
            <w:r>
              <w:rPr>
                <w:rFonts w:ascii="Calibri" w:hAnsi="Calibri" w:eastAsia="Calibri"/>
                <w:b w:val="0"/>
                <w:i w:val="0"/>
                <w:color w:val="324D59"/>
                <w:sz w:val="16"/>
              </w:rPr>
              <w:t xml:space="preserve">  CO</w:t>
            </w:r>
          </w:p>
        </w:tc>
      </w:tr>
      <w:tr>
        <w:tc>
          <w:tcPr>
            <w:tcW w:type="dxa" w:w="1852"/>
            <w:shd w:val="clear" w:color="auto" w:fill="E3E9EC"/>
          </w:tcPr>
          <w:p>
            <w:pPr>
              <w:spacing w:after="0"/>
            </w:pPr>
            <w:r>
              <w:rPr>
                <w:rFonts w:ascii="Calibri" w:hAnsi="Calibri" w:eastAsia="Calibri"/>
                <w:b/>
                <w:i w:val="0"/>
                <w:color w:val="173D4C"/>
                <w:sz w:val="16"/>
              </w:rPr>
              <w:t>Santa Fe</w:t>
            </w:r>
            <w:r>
              <w:br/>
            </w:r>
            <w:r>
              <w:rPr>
                <w:rFonts w:ascii="Calibri" w:hAnsi="Calibri" w:eastAsia="Calibri"/>
                <w:b/>
                <w:i w:val="0"/>
                <w:color w:val="6C8894"/>
                <w:sz w:val="16"/>
              </w:rPr>
              <w:t>SFE</w:t>
            </w:r>
          </w:p>
        </w:tc>
        <w:tc>
          <w:tcPr>
            <w:tcW w:type="dxa" w:w="1949"/>
            <w:shd w:val="clear" w:color="auto" w:fill="E3E9EC"/>
          </w:tcPr>
          <w:p>
            <w:pPr>
              <w:spacing w:after="0"/>
            </w:pPr>
            <w:r>
              <w:rPr>
                <w:rFonts w:ascii="Calibri" w:hAnsi="Calibri" w:eastAsia="Calibri"/>
                <w:b w:val="0"/>
                <w:i w:val="0"/>
                <w:color w:val="324D59"/>
                <w:sz w:val="16"/>
              </w:rPr>
              <w:t>Tlajomulco de Zúñiga</w:t>
            </w:r>
          </w:p>
        </w:tc>
        <w:tc>
          <w:tcPr>
            <w:tcW w:type="dxa" w:w="1462"/>
            <w:shd w:val="clear" w:color="auto" w:fill="E3E9EC"/>
          </w:tcPr>
          <w:p>
            <w:pPr>
              <w:spacing w:after="0"/>
              <w:jc w:val="center"/>
            </w:pPr>
            <w:r>
              <w:rPr>
                <w:rFonts w:ascii="Calibri" w:hAnsi="Calibri" w:eastAsia="Calibri"/>
                <w:b w:val="0"/>
                <w:i w:val="0"/>
                <w:color w:val="324D59"/>
                <w:sz w:val="16"/>
              </w:rPr>
              <w:t>2013</w:t>
            </w:r>
          </w:p>
        </w:tc>
        <w:tc>
          <w:tcPr>
            <w:tcW w:type="dxa" w:w="4483"/>
            <w:shd w:val="clear" w:color="auto" w:fill="E3E9EC"/>
          </w:tcPr>
          <w:p>
            <w:pPr>
              <w:spacing w:after="0"/>
            </w:pPr>
            <w:r>
              <w:rPr>
                <w:rFonts w:ascii="Calibri" w:hAnsi="Calibri" w:eastAsia="Calibri"/>
                <w:b w:val="0"/>
                <w:i w:val="0"/>
                <w:color w:val="324D59"/>
                <w:sz w:val="16"/>
              </w:rPr>
              <w:t>PM</w:t>
            </w:r>
            <w:r>
              <w:rPr>
                <w:rFonts w:ascii="Calibri" w:hAnsi="Calibri" w:eastAsia="Calibri"/>
                <w:b w:val="0"/>
                <w:i w:val="0"/>
                <w:color w:val="324D59"/>
                <w:sz w:val="16"/>
                <w:vertAlign w:val="subscript"/>
              </w:rPr>
              <w:t>10</w:t>
            </w:r>
            <w:r>
              <w:rPr>
                <w:rFonts w:ascii="Calibri" w:hAnsi="Calibri" w:eastAsia="Calibri"/>
                <w:b w:val="0"/>
                <w:i w:val="0"/>
                <w:color w:val="324D59"/>
                <w:sz w:val="16"/>
              </w:rPr>
              <w:t xml:space="preserve">  PM</w:t>
            </w:r>
            <w:r>
              <w:rPr>
                <w:rFonts w:ascii="Calibri" w:hAnsi="Calibri" w:eastAsia="Calibri"/>
                <w:b w:val="0"/>
                <w:i w:val="0"/>
                <w:color w:val="324D59"/>
                <w:sz w:val="16"/>
                <w:vertAlign w:val="subscript"/>
              </w:rPr>
              <w:t>2.5</w:t>
            </w:r>
            <w:r>
              <w:rPr>
                <w:rFonts w:ascii="Calibri" w:hAnsi="Calibri" w:eastAsia="Calibri"/>
                <w:b w:val="0"/>
                <w:i w:val="0"/>
                <w:color w:val="324D59"/>
                <w:sz w:val="16"/>
              </w:rPr>
              <w:t xml:space="preserve">  O</w:t>
            </w:r>
            <w:r>
              <w:rPr>
                <w:rFonts w:ascii="Calibri" w:hAnsi="Calibri" w:eastAsia="Calibri"/>
                <w:b w:val="0"/>
                <w:i w:val="0"/>
                <w:color w:val="324D59"/>
                <w:sz w:val="16"/>
                <w:vertAlign w:val="subscript"/>
              </w:rPr>
              <w:t>3</w:t>
            </w:r>
            <w:r>
              <w:rPr>
                <w:rFonts w:ascii="Calibri" w:hAnsi="Calibri" w:eastAsia="Calibri"/>
                <w:b w:val="0"/>
                <w:i w:val="0"/>
                <w:color w:val="324D59"/>
                <w:sz w:val="16"/>
              </w:rPr>
              <w:t xml:space="preserve">  SO</w:t>
            </w:r>
            <w:r>
              <w:rPr>
                <w:rFonts w:ascii="Calibri" w:hAnsi="Calibri" w:eastAsia="Calibri"/>
                <w:b w:val="0"/>
                <w:i w:val="0"/>
                <w:color w:val="324D59"/>
                <w:sz w:val="16"/>
                <w:vertAlign w:val="subscript"/>
              </w:rPr>
              <w:t>2</w:t>
            </w:r>
            <w:r>
              <w:rPr>
                <w:rFonts w:ascii="Calibri" w:hAnsi="Calibri" w:eastAsia="Calibri"/>
                <w:b w:val="0"/>
                <w:i w:val="0"/>
                <w:color w:val="324D59"/>
                <w:sz w:val="16"/>
              </w:rPr>
              <w:t xml:space="preserve">  NO</w:t>
            </w:r>
            <w:r>
              <w:rPr>
                <w:rFonts w:ascii="Calibri" w:hAnsi="Calibri" w:eastAsia="Calibri"/>
                <w:b w:val="0"/>
                <w:i w:val="0"/>
                <w:color w:val="324D59"/>
                <w:sz w:val="16"/>
                <w:vertAlign w:val="subscript"/>
              </w:rPr>
              <w:t>2</w:t>
            </w:r>
            <w:r>
              <w:rPr>
                <w:rFonts w:ascii="Calibri" w:hAnsi="Calibri" w:eastAsia="Calibri"/>
                <w:b w:val="0"/>
                <w:i w:val="0"/>
                <w:color w:val="324D59"/>
                <w:sz w:val="16"/>
              </w:rPr>
              <w:t xml:space="preserve">  CO</w:t>
            </w:r>
          </w:p>
        </w:tc>
      </w:tr>
      <w:tr>
        <w:tc>
          <w:tcPr>
            <w:tcW w:type="dxa" w:w="1852"/>
            <w:shd w:val="clear" w:color="auto" w:fill="FFFFFF"/>
          </w:tcPr>
          <w:p>
            <w:pPr>
              <w:spacing w:after="0"/>
            </w:pPr>
            <w:r>
              <w:rPr>
                <w:rFonts w:ascii="Calibri" w:hAnsi="Calibri" w:eastAsia="Calibri"/>
                <w:b/>
                <w:i w:val="0"/>
                <w:color w:val="173D4C"/>
                <w:sz w:val="16"/>
              </w:rPr>
              <w:t>Santa Margarita*</w:t>
            </w:r>
            <w:r>
              <w:br/>
            </w:r>
            <w:r>
              <w:rPr>
                <w:rFonts w:ascii="Calibri" w:hAnsi="Calibri" w:eastAsia="Calibri"/>
                <w:b/>
                <w:i w:val="0"/>
                <w:color w:val="6C8894"/>
                <w:sz w:val="16"/>
              </w:rPr>
              <w:t>SMT</w:t>
            </w:r>
          </w:p>
        </w:tc>
        <w:tc>
          <w:tcPr>
            <w:tcW w:type="dxa" w:w="1949"/>
            <w:shd w:val="clear" w:color="auto" w:fill="FFFFFF"/>
          </w:tcPr>
          <w:p>
            <w:pPr>
              <w:spacing w:after="0"/>
            </w:pPr>
            <w:r>
              <w:rPr>
                <w:rFonts w:ascii="Calibri" w:hAnsi="Calibri" w:eastAsia="Calibri"/>
                <w:b w:val="0"/>
                <w:i w:val="0"/>
                <w:color w:val="324D59"/>
                <w:sz w:val="16"/>
              </w:rPr>
              <w:t>Zapopan</w:t>
            </w:r>
          </w:p>
        </w:tc>
        <w:tc>
          <w:tcPr>
            <w:tcW w:type="dxa" w:w="1462"/>
            <w:shd w:val="clear" w:color="auto" w:fill="FFFFFF"/>
          </w:tcPr>
          <w:p>
            <w:pPr>
              <w:spacing w:after="0"/>
              <w:jc w:val="center"/>
            </w:pPr>
            <w:r>
              <w:rPr>
                <w:rFonts w:ascii="Calibri" w:hAnsi="Calibri" w:eastAsia="Calibri"/>
                <w:b w:val="0"/>
                <w:i w:val="0"/>
                <w:color w:val="324D59"/>
                <w:sz w:val="16"/>
              </w:rPr>
              <w:t>2024</w:t>
            </w:r>
          </w:p>
        </w:tc>
        <w:tc>
          <w:tcPr>
            <w:tcW w:type="dxa" w:w="4483"/>
            <w:shd w:val="clear" w:color="auto" w:fill="FFFFFF"/>
          </w:tcPr>
          <w:p>
            <w:pPr>
              <w:spacing w:after="0"/>
            </w:pPr>
            <w:r>
              <w:rPr>
                <w:rFonts w:ascii="Calibri" w:hAnsi="Calibri" w:eastAsia="Calibri"/>
                <w:b w:val="0"/>
                <w:i w:val="0"/>
                <w:color w:val="324D59"/>
                <w:sz w:val="16"/>
              </w:rPr>
              <w:t>PM</w:t>
            </w:r>
            <w:r>
              <w:rPr>
                <w:rFonts w:ascii="Calibri" w:hAnsi="Calibri" w:eastAsia="Calibri"/>
                <w:b w:val="0"/>
                <w:i w:val="0"/>
                <w:color w:val="324D59"/>
                <w:sz w:val="16"/>
                <w:vertAlign w:val="subscript"/>
              </w:rPr>
              <w:t>10</w:t>
            </w:r>
            <w:r>
              <w:rPr>
                <w:rFonts w:ascii="Calibri" w:hAnsi="Calibri" w:eastAsia="Calibri"/>
                <w:b w:val="0"/>
                <w:i w:val="0"/>
                <w:color w:val="324D59"/>
                <w:sz w:val="16"/>
              </w:rPr>
              <w:t xml:space="preserve">  PM</w:t>
            </w:r>
            <w:r>
              <w:rPr>
                <w:rFonts w:ascii="Calibri" w:hAnsi="Calibri" w:eastAsia="Calibri"/>
                <w:b w:val="0"/>
                <w:i w:val="0"/>
                <w:color w:val="324D59"/>
                <w:sz w:val="16"/>
                <w:vertAlign w:val="subscript"/>
              </w:rPr>
              <w:t>2.5</w:t>
            </w:r>
            <w:r>
              <w:rPr>
                <w:rFonts w:ascii="Calibri" w:hAnsi="Calibri" w:eastAsia="Calibri"/>
                <w:b w:val="0"/>
                <w:i w:val="0"/>
                <w:color w:val="324D59"/>
                <w:sz w:val="16"/>
              </w:rPr>
              <w:t xml:space="preserve">  O</w:t>
            </w:r>
            <w:r>
              <w:rPr>
                <w:rFonts w:ascii="Calibri" w:hAnsi="Calibri" w:eastAsia="Calibri"/>
                <w:b w:val="0"/>
                <w:i w:val="0"/>
                <w:color w:val="324D59"/>
                <w:sz w:val="16"/>
                <w:vertAlign w:val="subscript"/>
              </w:rPr>
              <w:t>3</w:t>
            </w:r>
            <w:r>
              <w:rPr>
                <w:rFonts w:ascii="Calibri" w:hAnsi="Calibri" w:eastAsia="Calibri"/>
                <w:b w:val="0"/>
                <w:i w:val="0"/>
                <w:color w:val="324D59"/>
                <w:sz w:val="16"/>
              </w:rPr>
              <w:t xml:space="preserve">  SO</w:t>
            </w:r>
            <w:r>
              <w:rPr>
                <w:rFonts w:ascii="Calibri" w:hAnsi="Calibri" w:eastAsia="Calibri"/>
                <w:b w:val="0"/>
                <w:i w:val="0"/>
                <w:color w:val="324D59"/>
                <w:sz w:val="16"/>
                <w:vertAlign w:val="subscript"/>
              </w:rPr>
              <w:t>2</w:t>
            </w:r>
            <w:r>
              <w:rPr>
                <w:rFonts w:ascii="Calibri" w:hAnsi="Calibri" w:eastAsia="Calibri"/>
                <w:b w:val="0"/>
                <w:i w:val="0"/>
                <w:color w:val="324D59"/>
                <w:sz w:val="16"/>
              </w:rPr>
              <w:t xml:space="preserve">  NO</w:t>
            </w:r>
            <w:r>
              <w:rPr>
                <w:rFonts w:ascii="Calibri" w:hAnsi="Calibri" w:eastAsia="Calibri"/>
                <w:b w:val="0"/>
                <w:i w:val="0"/>
                <w:color w:val="324D59"/>
                <w:sz w:val="16"/>
                <w:vertAlign w:val="subscript"/>
              </w:rPr>
              <w:t>2</w:t>
            </w:r>
            <w:r>
              <w:rPr>
                <w:rFonts w:ascii="Calibri" w:hAnsi="Calibri" w:eastAsia="Calibri"/>
                <w:b w:val="0"/>
                <w:i w:val="0"/>
                <w:color w:val="324D59"/>
                <w:sz w:val="16"/>
              </w:rPr>
              <w:t xml:space="preserve">  CO</w:t>
            </w:r>
          </w:p>
        </w:tc>
      </w:tr>
      <w:tr>
        <w:tc>
          <w:tcPr>
            <w:tcW w:type="dxa" w:w="1852"/>
            <w:shd w:val="clear" w:color="auto" w:fill="E3E9EC"/>
          </w:tcPr>
          <w:p>
            <w:pPr>
              <w:spacing w:after="0"/>
            </w:pPr>
            <w:r>
              <w:rPr>
                <w:rFonts w:ascii="Calibri" w:hAnsi="Calibri" w:eastAsia="Calibri"/>
                <w:b/>
                <w:i w:val="0"/>
                <w:color w:val="173D4C"/>
                <w:sz w:val="16"/>
              </w:rPr>
              <w:t>Tlaquepaque</w:t>
            </w:r>
            <w:r>
              <w:br/>
            </w:r>
            <w:r>
              <w:rPr>
                <w:rFonts w:ascii="Calibri" w:hAnsi="Calibri" w:eastAsia="Calibri"/>
                <w:b/>
                <w:i w:val="0"/>
                <w:color w:val="6C8894"/>
                <w:sz w:val="16"/>
              </w:rPr>
              <w:t>TLA</w:t>
            </w:r>
          </w:p>
        </w:tc>
        <w:tc>
          <w:tcPr>
            <w:tcW w:type="dxa" w:w="1949"/>
            <w:shd w:val="clear" w:color="auto" w:fill="E3E9EC"/>
          </w:tcPr>
          <w:p>
            <w:pPr>
              <w:spacing w:after="0"/>
            </w:pPr>
            <w:r>
              <w:rPr>
                <w:rFonts w:ascii="Calibri" w:hAnsi="Calibri" w:eastAsia="Calibri"/>
                <w:b w:val="0"/>
                <w:i w:val="0"/>
                <w:color w:val="324D59"/>
                <w:sz w:val="16"/>
              </w:rPr>
              <w:t>San Pedro Tlaquepaque</w:t>
            </w:r>
          </w:p>
        </w:tc>
        <w:tc>
          <w:tcPr>
            <w:tcW w:type="dxa" w:w="1462"/>
            <w:shd w:val="clear" w:color="auto" w:fill="E3E9EC"/>
          </w:tcPr>
          <w:p>
            <w:pPr>
              <w:spacing w:after="0"/>
              <w:jc w:val="center"/>
            </w:pPr>
            <w:r>
              <w:rPr>
                <w:rFonts w:ascii="Calibri" w:hAnsi="Calibri" w:eastAsia="Calibri"/>
                <w:b w:val="0"/>
                <w:i w:val="0"/>
                <w:color w:val="324D59"/>
                <w:sz w:val="16"/>
              </w:rPr>
              <w:t>1993</w:t>
            </w:r>
          </w:p>
        </w:tc>
        <w:tc>
          <w:tcPr>
            <w:tcW w:type="dxa" w:w="4483"/>
            <w:shd w:val="clear" w:color="auto" w:fill="E3E9EC"/>
          </w:tcPr>
          <w:p>
            <w:pPr>
              <w:spacing w:after="0"/>
            </w:pPr>
            <w:r>
              <w:rPr>
                <w:rFonts w:ascii="Calibri" w:hAnsi="Calibri" w:eastAsia="Calibri"/>
                <w:b w:val="0"/>
                <w:i w:val="0"/>
                <w:color w:val="324D59"/>
                <w:sz w:val="16"/>
              </w:rPr>
              <w:t>PM</w:t>
            </w:r>
            <w:r>
              <w:rPr>
                <w:rFonts w:ascii="Calibri" w:hAnsi="Calibri" w:eastAsia="Calibri"/>
                <w:b w:val="0"/>
                <w:i w:val="0"/>
                <w:color w:val="324D59"/>
                <w:sz w:val="16"/>
                <w:vertAlign w:val="subscript"/>
              </w:rPr>
              <w:t>10</w:t>
            </w:r>
            <w:r>
              <w:rPr>
                <w:rFonts w:ascii="Calibri" w:hAnsi="Calibri" w:eastAsia="Calibri"/>
                <w:b w:val="0"/>
                <w:i w:val="0"/>
                <w:color w:val="324D59"/>
                <w:sz w:val="16"/>
              </w:rPr>
              <w:t xml:space="preserve">  PM</w:t>
            </w:r>
            <w:r>
              <w:rPr>
                <w:rFonts w:ascii="Calibri" w:hAnsi="Calibri" w:eastAsia="Calibri"/>
                <w:b w:val="0"/>
                <w:i w:val="0"/>
                <w:color w:val="324D59"/>
                <w:sz w:val="16"/>
                <w:vertAlign w:val="subscript"/>
              </w:rPr>
              <w:t>2.5</w:t>
            </w:r>
            <w:r>
              <w:rPr>
                <w:rFonts w:ascii="Calibri" w:hAnsi="Calibri" w:eastAsia="Calibri"/>
                <w:b w:val="0"/>
                <w:i w:val="0"/>
                <w:color w:val="324D59"/>
                <w:sz w:val="16"/>
              </w:rPr>
              <w:t xml:space="preserve">  O</w:t>
            </w:r>
            <w:r>
              <w:rPr>
                <w:rFonts w:ascii="Calibri" w:hAnsi="Calibri" w:eastAsia="Calibri"/>
                <w:b w:val="0"/>
                <w:i w:val="0"/>
                <w:color w:val="324D59"/>
                <w:sz w:val="16"/>
                <w:vertAlign w:val="subscript"/>
              </w:rPr>
              <w:t>3</w:t>
            </w:r>
            <w:r>
              <w:rPr>
                <w:rFonts w:ascii="Calibri" w:hAnsi="Calibri" w:eastAsia="Calibri"/>
                <w:b w:val="0"/>
                <w:i w:val="0"/>
                <w:color w:val="324D59"/>
                <w:sz w:val="16"/>
              </w:rPr>
              <w:t xml:space="preserve">  SO</w:t>
            </w:r>
            <w:r>
              <w:rPr>
                <w:rFonts w:ascii="Calibri" w:hAnsi="Calibri" w:eastAsia="Calibri"/>
                <w:b w:val="0"/>
                <w:i w:val="0"/>
                <w:color w:val="324D59"/>
                <w:sz w:val="16"/>
                <w:vertAlign w:val="subscript"/>
              </w:rPr>
              <w:t>2</w:t>
            </w:r>
            <w:r>
              <w:rPr>
                <w:rFonts w:ascii="Calibri" w:hAnsi="Calibri" w:eastAsia="Calibri"/>
                <w:b w:val="0"/>
                <w:i w:val="0"/>
                <w:color w:val="324D59"/>
                <w:sz w:val="16"/>
              </w:rPr>
              <w:t xml:space="preserve">  NO</w:t>
            </w:r>
            <w:r>
              <w:rPr>
                <w:rFonts w:ascii="Calibri" w:hAnsi="Calibri" w:eastAsia="Calibri"/>
                <w:b w:val="0"/>
                <w:i w:val="0"/>
                <w:color w:val="324D59"/>
                <w:sz w:val="16"/>
                <w:vertAlign w:val="subscript"/>
              </w:rPr>
              <w:t>2</w:t>
            </w:r>
            <w:r>
              <w:rPr>
                <w:rFonts w:ascii="Calibri" w:hAnsi="Calibri" w:eastAsia="Calibri"/>
                <w:b w:val="0"/>
                <w:i w:val="0"/>
                <w:color w:val="324D59"/>
                <w:sz w:val="16"/>
              </w:rPr>
              <w:t xml:space="preserve">  CO</w:t>
            </w:r>
          </w:p>
        </w:tc>
      </w:tr>
      <w:tr>
        <w:tc>
          <w:tcPr>
            <w:tcW w:type="dxa" w:w="1852"/>
            <w:shd w:val="clear" w:color="auto" w:fill="FFFFFF"/>
          </w:tcPr>
          <w:p>
            <w:pPr>
              <w:spacing w:after="0"/>
            </w:pPr>
            <w:r>
              <w:rPr>
                <w:rFonts w:ascii="Calibri" w:hAnsi="Calibri" w:eastAsia="Calibri"/>
                <w:b/>
                <w:i w:val="0"/>
                <w:color w:val="173D4C"/>
                <w:sz w:val="16"/>
              </w:rPr>
              <w:t>Vallarta</w:t>
            </w:r>
            <w:r>
              <w:br/>
            </w:r>
            <w:r>
              <w:rPr>
                <w:rFonts w:ascii="Calibri" w:hAnsi="Calibri" w:eastAsia="Calibri"/>
                <w:b/>
                <w:i w:val="0"/>
                <w:color w:val="6C8894"/>
                <w:sz w:val="16"/>
              </w:rPr>
              <w:t>VAL</w:t>
            </w:r>
          </w:p>
        </w:tc>
        <w:tc>
          <w:tcPr>
            <w:tcW w:type="dxa" w:w="1949"/>
            <w:shd w:val="clear" w:color="auto" w:fill="FFFFFF"/>
          </w:tcPr>
          <w:p>
            <w:pPr>
              <w:spacing w:after="0"/>
            </w:pPr>
            <w:r>
              <w:rPr>
                <w:rFonts w:ascii="Calibri" w:hAnsi="Calibri" w:eastAsia="Calibri"/>
                <w:b w:val="0"/>
                <w:i w:val="0"/>
                <w:color w:val="324D59"/>
                <w:sz w:val="16"/>
              </w:rPr>
              <w:t>Zapopan</w:t>
            </w:r>
          </w:p>
        </w:tc>
        <w:tc>
          <w:tcPr>
            <w:tcW w:type="dxa" w:w="1462"/>
            <w:shd w:val="clear" w:color="auto" w:fill="FFFFFF"/>
          </w:tcPr>
          <w:p>
            <w:pPr>
              <w:spacing w:after="0"/>
              <w:jc w:val="center"/>
            </w:pPr>
            <w:r>
              <w:rPr>
                <w:rFonts w:ascii="Calibri" w:hAnsi="Calibri" w:eastAsia="Calibri"/>
                <w:b w:val="0"/>
                <w:i w:val="0"/>
                <w:color w:val="324D59"/>
                <w:sz w:val="16"/>
              </w:rPr>
              <w:t>1993</w:t>
            </w:r>
          </w:p>
        </w:tc>
        <w:tc>
          <w:tcPr>
            <w:tcW w:type="dxa" w:w="4483"/>
            <w:shd w:val="clear" w:color="auto" w:fill="FFFFFF"/>
          </w:tcPr>
          <w:p>
            <w:pPr>
              <w:spacing w:after="0"/>
            </w:pPr>
            <w:r>
              <w:rPr>
                <w:rFonts w:ascii="Calibri" w:hAnsi="Calibri" w:eastAsia="Calibri"/>
                <w:b w:val="0"/>
                <w:i w:val="0"/>
                <w:color w:val="324D59"/>
                <w:sz w:val="16"/>
              </w:rPr>
              <w:t>PM</w:t>
            </w:r>
            <w:r>
              <w:rPr>
                <w:rFonts w:ascii="Calibri" w:hAnsi="Calibri" w:eastAsia="Calibri"/>
                <w:b w:val="0"/>
                <w:i w:val="0"/>
                <w:color w:val="324D59"/>
                <w:sz w:val="16"/>
                <w:vertAlign w:val="subscript"/>
              </w:rPr>
              <w:t>10</w:t>
            </w:r>
            <w:r>
              <w:rPr>
                <w:rFonts w:ascii="Calibri" w:hAnsi="Calibri" w:eastAsia="Calibri"/>
                <w:b w:val="0"/>
                <w:i w:val="0"/>
                <w:color w:val="324D59"/>
                <w:sz w:val="16"/>
              </w:rPr>
              <w:t xml:space="preserve">  PM</w:t>
            </w:r>
            <w:r>
              <w:rPr>
                <w:rFonts w:ascii="Calibri" w:hAnsi="Calibri" w:eastAsia="Calibri"/>
                <w:b w:val="0"/>
                <w:i w:val="0"/>
                <w:color w:val="324D59"/>
                <w:sz w:val="16"/>
                <w:vertAlign w:val="subscript"/>
              </w:rPr>
              <w:t>2.5</w:t>
            </w:r>
            <w:r>
              <w:rPr>
                <w:rFonts w:ascii="Calibri" w:hAnsi="Calibri" w:eastAsia="Calibri"/>
                <w:b w:val="0"/>
                <w:i w:val="0"/>
                <w:color w:val="324D59"/>
                <w:sz w:val="16"/>
              </w:rPr>
              <w:t xml:space="preserve">  O</w:t>
            </w:r>
            <w:r>
              <w:rPr>
                <w:rFonts w:ascii="Calibri" w:hAnsi="Calibri" w:eastAsia="Calibri"/>
                <w:b w:val="0"/>
                <w:i w:val="0"/>
                <w:color w:val="324D59"/>
                <w:sz w:val="16"/>
                <w:vertAlign w:val="subscript"/>
              </w:rPr>
              <w:t>3</w:t>
            </w:r>
            <w:r>
              <w:rPr>
                <w:rFonts w:ascii="Calibri" w:hAnsi="Calibri" w:eastAsia="Calibri"/>
                <w:b w:val="0"/>
                <w:i w:val="0"/>
                <w:color w:val="324D59"/>
                <w:sz w:val="16"/>
              </w:rPr>
              <w:t xml:space="preserve">  SO</w:t>
            </w:r>
            <w:r>
              <w:rPr>
                <w:rFonts w:ascii="Calibri" w:hAnsi="Calibri" w:eastAsia="Calibri"/>
                <w:b w:val="0"/>
                <w:i w:val="0"/>
                <w:color w:val="324D59"/>
                <w:sz w:val="16"/>
                <w:vertAlign w:val="subscript"/>
              </w:rPr>
              <w:t>2</w:t>
            </w:r>
            <w:r>
              <w:rPr>
                <w:rFonts w:ascii="Calibri" w:hAnsi="Calibri" w:eastAsia="Calibri"/>
                <w:b w:val="0"/>
                <w:i w:val="0"/>
                <w:color w:val="324D59"/>
                <w:sz w:val="16"/>
              </w:rPr>
              <w:t xml:space="preserve">  NO</w:t>
            </w:r>
            <w:r>
              <w:rPr>
                <w:rFonts w:ascii="Calibri" w:hAnsi="Calibri" w:eastAsia="Calibri"/>
                <w:b w:val="0"/>
                <w:i w:val="0"/>
                <w:color w:val="324D59"/>
                <w:sz w:val="16"/>
                <w:vertAlign w:val="subscript"/>
              </w:rPr>
              <w:t>2</w:t>
            </w:r>
            <w:r>
              <w:rPr>
                <w:rFonts w:ascii="Calibri" w:hAnsi="Calibri" w:eastAsia="Calibri"/>
                <w:b w:val="0"/>
                <w:i w:val="0"/>
                <w:color w:val="324D59"/>
                <w:sz w:val="16"/>
              </w:rPr>
              <w:t xml:space="preserve">  CO</w:t>
            </w:r>
          </w:p>
        </w:tc>
      </w:tr>
    </w:tbl>
    <w:p>
      <w:pPr>
        <w:spacing w:after="80"/>
      </w:pPr>
    </w:p>
    <w:p>
      <w:r>
        <w:rPr>
          <w:rFonts w:ascii="Calibri" w:hAnsi="Calibri" w:eastAsia="Calibri"/>
          <w:b w:val="0"/>
          <w:i w:val="0"/>
          <w:color w:val="6C8894"/>
          <w:sz w:val="17"/>
        </w:rPr>
        <w:t>* Estación nueva. Los recuadros en color indican los contaminantes que mide cada estación; en gris se señalan los contaminantes que la estación no mide.</w:t>
      </w:r>
    </w:p>
    <w:p>
      <w:pPr>
        <w:spacing w:after="160"/>
        <w:jc w:val="both"/>
      </w:pPr>
      <w:r>
        <w:rPr>
          <w:rFonts w:ascii="Calibri" w:hAnsi="Calibri" w:eastAsia="Calibri"/>
          <w:b w:val="0"/>
          <w:i w:val="0"/>
          <w:color w:val="324D59"/>
          <w:sz w:val="22"/>
        </w:rPr>
        <w:t>Para garantizar información confiable y comparable a nivel nacional, el SIMAJ utiliza equipos, procedimientos y criterios de calidad conforme a las Normas Oficiales Mexicanas para cada contaminante: O</w:t>
      </w:r>
      <w:r>
        <w:rPr>
          <w:rFonts w:ascii="Calibri" w:hAnsi="Calibri" w:eastAsia="Calibri"/>
          <w:b w:val="0"/>
          <w:i w:val="0"/>
          <w:color w:val="324D59"/>
          <w:sz w:val="22"/>
          <w:vertAlign w:val="subscript"/>
        </w:rPr>
        <w:t>3</w:t>
      </w:r>
      <w:r>
        <w:rPr>
          <w:rFonts w:ascii="Calibri" w:hAnsi="Calibri" w:eastAsia="Calibri"/>
          <w:b w:val="0"/>
          <w:i w:val="0"/>
          <w:color w:val="324D59"/>
          <w:sz w:val="22"/>
        </w:rPr>
        <w:t xml:space="preserve"> (NOM-036-SEMARNAT-1993), NO</w:t>
      </w:r>
      <w:r>
        <w:rPr>
          <w:rFonts w:ascii="Calibri" w:hAnsi="Calibri" w:eastAsia="Calibri"/>
          <w:b w:val="0"/>
          <w:i w:val="0"/>
          <w:color w:val="324D59"/>
          <w:sz w:val="22"/>
          <w:vertAlign w:val="subscript"/>
        </w:rPr>
        <w:t>2</w:t>
      </w:r>
      <w:r>
        <w:rPr>
          <w:rFonts w:ascii="Calibri" w:hAnsi="Calibri" w:eastAsia="Calibri"/>
          <w:b w:val="0"/>
          <w:i w:val="0"/>
          <w:color w:val="324D59"/>
          <w:sz w:val="22"/>
        </w:rPr>
        <w:t xml:space="preserve"> (NOM-037-SEMARNAT-1993), CO (NOM-034-SEMARNAT-1993) y SO</w:t>
      </w:r>
      <w:r>
        <w:rPr>
          <w:rFonts w:ascii="Calibri" w:hAnsi="Calibri" w:eastAsia="Calibri"/>
          <w:b w:val="0"/>
          <w:i w:val="0"/>
          <w:color w:val="324D59"/>
          <w:sz w:val="22"/>
          <w:vertAlign w:val="subscript"/>
        </w:rPr>
        <w:t>2</w:t>
      </w:r>
      <w:r>
        <w:rPr>
          <w:rFonts w:ascii="Calibri" w:hAnsi="Calibri" w:eastAsia="Calibri"/>
          <w:b w:val="0"/>
          <w:i w:val="0"/>
          <w:color w:val="324D59"/>
          <w:sz w:val="22"/>
        </w:rPr>
        <w:t xml:space="preserve"> (NOM-038-SEMARNAT-1993). La instalación, operación y validez de las redes también cumplen con la NOM-156-SEMARNAT-2012 y las especificaciones de los Manuales SINAICA.</w:t>
      </w:r>
    </w:p>
    <w:p>
      <w:pPr>
        <w:pStyle w:val="Heading1"/>
      </w:pPr>
      <w:r>
        <w:rPr>
          <w:rFonts w:ascii="Calibri" w:hAnsi="Calibri" w:eastAsia="Calibri"/>
          <w:b/>
          <w:i w:val="0"/>
          <w:color w:val="173D4C"/>
          <w:sz w:val="30"/>
        </w:rPr>
        <w:t>Evaluación de la calidad del aire</w:t>
      </w:r>
    </w:p>
    <w:p>
      <w:pPr>
        <w:spacing w:after="160"/>
        <w:jc w:val="both"/>
      </w:pPr>
      <w:r>
        <w:rPr>
          <w:rFonts w:ascii="Calibri" w:hAnsi="Calibri" w:eastAsia="Calibri"/>
          <w:b w:val="0"/>
          <w:i w:val="0"/>
          <w:color w:val="324D59"/>
          <w:sz w:val="22"/>
        </w:rPr>
        <w:t>La calidad del aire se evalúa mediante dos herramientas complementarias. La primera es el cumplimiento de las Normas Oficiales Mexicanas (NOM), que permite determinar si las concentraciones de los contaminantes se mantienen dentro de los límites establecidos para proteger la salud. La segunda es el Índice Aire y Salud (IAS), establecido en la NOM-172-SEMARNAT-2023, que traduce esas concentraciones en categorías de riesgo fáciles de comprender para la población.</w:t>
      </w:r>
    </w:p>
    <w:p>
      <w:pPr>
        <w:spacing w:after="160"/>
        <w:jc w:val="both"/>
      </w:pPr>
      <w:r>
        <w:rPr>
          <w:rFonts w:ascii="Calibri" w:hAnsi="Calibri" w:eastAsia="Calibri"/>
          <w:b w:val="0"/>
          <w:i w:val="0"/>
          <w:color w:val="324D59"/>
          <w:sz w:val="22"/>
        </w:rPr>
        <w:t>El cumplimiento normativo consiste en comparar las concentraciones registradas de cada contaminante con los valores establecidos en las NOM. Cuando estos límites son superados, se considera “fuera de norma”, por lo que aumenta el riesgo de efectos adversos en la salud, especialmente para niñas y niños, personas adultas mayores, mujeres embarazadas y personas con enfermedades respiratorias o cardiovasculares. La Tabla 3 presenta los contaminantes evaluados y la NOM aplicable a cada uno.</w:t>
      </w:r>
    </w:p>
    <w:p>
      <w:pPr>
        <w:keepNext/>
        <w:spacing w:before="160"/>
      </w:pPr>
      <w:r>
        <w:rPr>
          <w:rFonts w:ascii="Calibri" w:hAnsi="Calibri" w:eastAsia="Calibri"/>
          <w:b/>
          <w:i w:val="0"/>
          <w:color w:val="173D4C"/>
          <w:sz w:val="19"/>
        </w:rPr>
        <w:t>Tabla 3. Relación de Contaminante Criterio con la Norma Oficial Mexicana aplicable.</w:t>
      </w:r>
    </w:p>
    <w:tbl>
      <w:tblPr>
        <w:tblW w:type="auto" w:w="0"/>
        <w:jc w:val="center"/>
        <w:tblLayout w:type="fixed"/>
        <w:tblLook w:firstColumn="1" w:firstRow="1" w:lastColumn="0" w:lastRow="0" w:noHBand="0" w:noVBand="1" w:val="04A0"/>
        <w:tblBorders>
          <w:top w:val="single" w:sz="4" w:space="0" w:color="D7DEE1"/>
          <w:left w:val="single" w:sz="4" w:space="0" w:color="D7DEE1"/>
          <w:bottom w:val="single" w:sz="4" w:space="0" w:color="D7DEE1"/>
          <w:right w:val="single" w:sz="4" w:space="0" w:color="D7DEE1"/>
          <w:insideH w:val="single" w:sz="4" w:space="0" w:color="D7DEE1"/>
          <w:insideV w:val="single" w:sz="4" w:space="0" w:color="D7DEE1"/>
        </w:tblBorders>
      </w:tblPr>
      <w:tblGrid>
        <w:gridCol w:w="3249"/>
        <w:gridCol w:w="3249"/>
        <w:gridCol w:w="3249"/>
      </w:tblGrid>
      <w:tr>
        <w:trPr>
          <w:tblHeader/>
          <w:cantSplit/>
        </w:trPr>
        <w:tc>
          <w:tcPr>
            <w:tcW w:type="dxa" w:w="4483"/>
            <w:shd w:val="clear" w:color="auto" w:fill="173D4C"/>
          </w:tcPr>
          <w:p>
            <w:pPr>
              <w:keepNext/>
              <w:spacing w:after="0"/>
              <w:jc w:val="center"/>
            </w:pPr>
            <w:r>
              <w:rPr>
                <w:rFonts w:ascii="Calibri" w:hAnsi="Calibri" w:eastAsia="Calibri"/>
                <w:b/>
                <w:i w:val="0"/>
                <w:color w:val="FFFFFF"/>
                <w:sz w:val="16"/>
              </w:rPr>
              <w:t>Contaminante Criterio</w:t>
            </w:r>
          </w:p>
        </w:tc>
        <w:tc>
          <w:tcPr>
            <w:tcW w:type="dxa" w:w="1559"/>
            <w:shd w:val="clear" w:color="auto" w:fill="173D4C"/>
          </w:tcPr>
          <w:p>
            <w:pPr>
              <w:keepNext/>
              <w:spacing w:after="0"/>
              <w:jc w:val="center"/>
            </w:pPr>
            <w:r>
              <w:rPr>
                <w:rFonts w:ascii="Calibri" w:hAnsi="Calibri" w:eastAsia="Calibri"/>
                <w:b/>
                <w:i w:val="0"/>
                <w:color w:val="FFFFFF"/>
                <w:sz w:val="16"/>
              </w:rPr>
              <w:t>Símbolo</w:t>
            </w:r>
          </w:p>
        </w:tc>
        <w:tc>
          <w:tcPr>
            <w:tcW w:type="dxa" w:w="3703"/>
            <w:shd w:val="clear" w:color="auto" w:fill="173D4C"/>
          </w:tcPr>
          <w:p>
            <w:pPr>
              <w:keepNext/>
              <w:spacing w:after="0"/>
              <w:jc w:val="center"/>
            </w:pPr>
            <w:r>
              <w:rPr>
                <w:rFonts w:ascii="Calibri" w:hAnsi="Calibri" w:eastAsia="Calibri"/>
                <w:b/>
                <w:i w:val="0"/>
                <w:color w:val="FFFFFF"/>
                <w:sz w:val="16"/>
              </w:rPr>
              <w:t>Norma Oficial Mexicana</w:t>
            </w:r>
          </w:p>
        </w:tc>
      </w:tr>
      <w:tr>
        <w:tc>
          <w:tcPr>
            <w:tcW w:type="dxa" w:w="4483"/>
            <w:shd w:val="clear" w:color="auto" w:fill="FFFFFF"/>
          </w:tcPr>
          <w:p>
            <w:pPr>
              <w:spacing w:after="0"/>
            </w:pPr>
            <w:r>
              <w:rPr>
                <w:rFonts w:ascii="Calibri" w:hAnsi="Calibri" w:eastAsia="Calibri"/>
                <w:b w:val="0"/>
                <w:i w:val="0"/>
                <w:color w:val="324D59"/>
                <w:sz w:val="16"/>
              </w:rPr>
              <w:t>Ozono</w:t>
            </w:r>
          </w:p>
        </w:tc>
        <w:tc>
          <w:tcPr>
            <w:tcW w:type="dxa" w:w="1559"/>
            <w:shd w:val="clear" w:color="auto" w:fill="FFFFFF"/>
          </w:tcPr>
          <w:p>
            <w:pPr>
              <w:spacing w:after="0"/>
              <w:jc w:val="center"/>
            </w:pPr>
            <w:r>
              <w:rPr>
                <w:rFonts w:ascii="Calibri" w:hAnsi="Calibri" w:eastAsia="Calibri"/>
                <w:b w:val="0"/>
                <w:i w:val="0"/>
                <w:color w:val="324D59"/>
                <w:sz w:val="16"/>
              </w:rPr>
              <w:t>O</w:t>
            </w:r>
            <w:r>
              <w:rPr>
                <w:rFonts w:ascii="Calibri" w:hAnsi="Calibri" w:eastAsia="Calibri"/>
                <w:b w:val="0"/>
                <w:i w:val="0"/>
                <w:color w:val="324D59"/>
                <w:sz w:val="16"/>
                <w:vertAlign w:val="subscript"/>
              </w:rPr>
              <w:t>3</w:t>
            </w:r>
          </w:p>
        </w:tc>
        <w:tc>
          <w:tcPr>
            <w:tcW w:type="dxa" w:w="3703"/>
            <w:shd w:val="clear" w:color="auto" w:fill="FFFFFF"/>
          </w:tcPr>
          <w:p>
            <w:pPr>
              <w:spacing w:after="0"/>
            </w:pPr>
            <w:r>
              <w:rPr>
                <w:rFonts w:ascii="Calibri" w:hAnsi="Calibri" w:eastAsia="Calibri"/>
                <w:b w:val="0"/>
                <w:i w:val="0"/>
                <w:color w:val="324D59"/>
                <w:sz w:val="16"/>
              </w:rPr>
              <w:t>NOM-020-SSA1-2021</w:t>
            </w:r>
          </w:p>
        </w:tc>
      </w:tr>
      <w:tr>
        <w:tc>
          <w:tcPr>
            <w:tcW w:type="dxa" w:w="4483"/>
            <w:shd w:val="clear" w:color="auto" w:fill="E3E9EC"/>
          </w:tcPr>
          <w:p>
            <w:pPr>
              <w:spacing w:after="0"/>
            </w:pPr>
            <w:r>
              <w:rPr>
                <w:rFonts w:ascii="Calibri" w:hAnsi="Calibri" w:eastAsia="Calibri"/>
                <w:b w:val="0"/>
                <w:i w:val="0"/>
                <w:color w:val="324D59"/>
                <w:sz w:val="16"/>
              </w:rPr>
              <w:t>Dióxido de Nitrógeno</w:t>
            </w:r>
          </w:p>
        </w:tc>
        <w:tc>
          <w:tcPr>
            <w:tcW w:type="dxa" w:w="1559"/>
            <w:shd w:val="clear" w:color="auto" w:fill="E3E9EC"/>
          </w:tcPr>
          <w:p>
            <w:pPr>
              <w:spacing w:after="0"/>
              <w:jc w:val="center"/>
            </w:pPr>
            <w:r>
              <w:rPr>
                <w:rFonts w:ascii="Calibri" w:hAnsi="Calibri" w:eastAsia="Calibri"/>
                <w:b w:val="0"/>
                <w:i w:val="0"/>
                <w:color w:val="324D59"/>
                <w:sz w:val="16"/>
              </w:rPr>
              <w:t>NO</w:t>
            </w:r>
            <w:r>
              <w:rPr>
                <w:rFonts w:ascii="Calibri" w:hAnsi="Calibri" w:eastAsia="Calibri"/>
                <w:b w:val="0"/>
                <w:i w:val="0"/>
                <w:color w:val="324D59"/>
                <w:sz w:val="16"/>
                <w:vertAlign w:val="subscript"/>
              </w:rPr>
              <w:t>2</w:t>
            </w:r>
          </w:p>
        </w:tc>
        <w:tc>
          <w:tcPr>
            <w:tcW w:type="dxa" w:w="3703"/>
            <w:shd w:val="clear" w:color="auto" w:fill="E3E9EC"/>
          </w:tcPr>
          <w:p>
            <w:pPr>
              <w:spacing w:after="0"/>
            </w:pPr>
            <w:r>
              <w:rPr>
                <w:rFonts w:ascii="Calibri" w:hAnsi="Calibri" w:eastAsia="Calibri"/>
                <w:b w:val="0"/>
                <w:i w:val="0"/>
                <w:color w:val="324D59"/>
                <w:sz w:val="16"/>
              </w:rPr>
              <w:t>NOM-023-SSA1-2021</w:t>
            </w:r>
          </w:p>
        </w:tc>
      </w:tr>
      <w:tr>
        <w:tc>
          <w:tcPr>
            <w:tcW w:type="dxa" w:w="4483"/>
            <w:shd w:val="clear" w:color="auto" w:fill="FFFFFF"/>
          </w:tcPr>
          <w:p>
            <w:pPr>
              <w:spacing w:after="0"/>
            </w:pPr>
            <w:r>
              <w:rPr>
                <w:rFonts w:ascii="Calibri" w:hAnsi="Calibri" w:eastAsia="Calibri"/>
                <w:b w:val="0"/>
                <w:i w:val="0"/>
                <w:color w:val="324D59"/>
                <w:sz w:val="16"/>
              </w:rPr>
              <w:t>Monóxido de Carbono</w:t>
            </w:r>
          </w:p>
        </w:tc>
        <w:tc>
          <w:tcPr>
            <w:tcW w:type="dxa" w:w="1559"/>
            <w:shd w:val="clear" w:color="auto" w:fill="FFFFFF"/>
          </w:tcPr>
          <w:p>
            <w:pPr>
              <w:spacing w:after="0"/>
              <w:jc w:val="center"/>
            </w:pPr>
            <w:r>
              <w:rPr>
                <w:rFonts w:ascii="Calibri" w:hAnsi="Calibri" w:eastAsia="Calibri"/>
                <w:b w:val="0"/>
                <w:i w:val="0"/>
                <w:color w:val="324D59"/>
                <w:sz w:val="16"/>
              </w:rPr>
              <w:t>CO</w:t>
            </w:r>
          </w:p>
        </w:tc>
        <w:tc>
          <w:tcPr>
            <w:tcW w:type="dxa" w:w="3703"/>
            <w:shd w:val="clear" w:color="auto" w:fill="FFFFFF"/>
          </w:tcPr>
          <w:p>
            <w:pPr>
              <w:spacing w:after="0"/>
            </w:pPr>
            <w:r>
              <w:rPr>
                <w:rFonts w:ascii="Calibri" w:hAnsi="Calibri" w:eastAsia="Calibri"/>
                <w:b w:val="0"/>
                <w:i w:val="0"/>
                <w:color w:val="324D59"/>
                <w:sz w:val="16"/>
              </w:rPr>
              <w:t>NOM-021-SSA1-2021</w:t>
            </w:r>
          </w:p>
        </w:tc>
      </w:tr>
      <w:tr>
        <w:tc>
          <w:tcPr>
            <w:tcW w:type="dxa" w:w="4483"/>
            <w:shd w:val="clear" w:color="auto" w:fill="E3E9EC"/>
          </w:tcPr>
          <w:p>
            <w:pPr>
              <w:spacing w:after="0"/>
            </w:pPr>
            <w:r>
              <w:rPr>
                <w:rFonts w:ascii="Calibri" w:hAnsi="Calibri" w:eastAsia="Calibri"/>
                <w:b w:val="0"/>
                <w:i w:val="0"/>
                <w:color w:val="324D59"/>
                <w:sz w:val="16"/>
              </w:rPr>
              <w:t>Dióxido de azufre</w:t>
            </w:r>
          </w:p>
        </w:tc>
        <w:tc>
          <w:tcPr>
            <w:tcW w:type="dxa" w:w="1559"/>
            <w:shd w:val="clear" w:color="auto" w:fill="E3E9EC"/>
          </w:tcPr>
          <w:p>
            <w:pPr>
              <w:spacing w:after="0"/>
              <w:jc w:val="center"/>
            </w:pPr>
            <w:r>
              <w:rPr>
                <w:rFonts w:ascii="Calibri" w:hAnsi="Calibri" w:eastAsia="Calibri"/>
                <w:b w:val="0"/>
                <w:i w:val="0"/>
                <w:color w:val="324D59"/>
                <w:sz w:val="16"/>
              </w:rPr>
              <w:t>SO</w:t>
            </w:r>
            <w:r>
              <w:rPr>
                <w:rFonts w:ascii="Calibri" w:hAnsi="Calibri" w:eastAsia="Calibri"/>
                <w:b w:val="0"/>
                <w:i w:val="0"/>
                <w:color w:val="324D59"/>
                <w:sz w:val="16"/>
                <w:vertAlign w:val="subscript"/>
              </w:rPr>
              <w:t>2</w:t>
            </w:r>
          </w:p>
        </w:tc>
        <w:tc>
          <w:tcPr>
            <w:tcW w:type="dxa" w:w="3703"/>
            <w:shd w:val="clear" w:color="auto" w:fill="E3E9EC"/>
          </w:tcPr>
          <w:p>
            <w:pPr>
              <w:spacing w:after="0"/>
            </w:pPr>
            <w:r>
              <w:rPr>
                <w:rFonts w:ascii="Calibri" w:hAnsi="Calibri" w:eastAsia="Calibri"/>
                <w:b w:val="0"/>
                <w:i w:val="0"/>
                <w:color w:val="324D59"/>
                <w:sz w:val="16"/>
              </w:rPr>
              <w:t>NOM-022-SSA1-2019</w:t>
            </w:r>
          </w:p>
        </w:tc>
      </w:tr>
      <w:tr>
        <w:tc>
          <w:tcPr>
            <w:tcW w:type="dxa" w:w="4483"/>
            <w:shd w:val="clear" w:color="auto" w:fill="FFFFFF"/>
          </w:tcPr>
          <w:p>
            <w:pPr>
              <w:spacing w:after="0"/>
            </w:pPr>
            <w:r>
              <w:rPr>
                <w:rFonts w:ascii="Calibri" w:hAnsi="Calibri" w:eastAsia="Calibri"/>
                <w:b w:val="0"/>
                <w:i w:val="0"/>
                <w:color w:val="324D59"/>
                <w:sz w:val="16"/>
              </w:rPr>
              <w:t>Partículas (diámetro ≤ 10 μm)</w:t>
            </w:r>
          </w:p>
        </w:tc>
        <w:tc>
          <w:tcPr>
            <w:tcW w:type="dxa" w:w="1559"/>
            <w:shd w:val="clear" w:color="auto" w:fill="FFFFFF"/>
          </w:tcPr>
          <w:p>
            <w:pPr>
              <w:spacing w:after="0"/>
              <w:jc w:val="center"/>
            </w:pPr>
            <w:r>
              <w:rPr>
                <w:rFonts w:ascii="Calibri" w:hAnsi="Calibri" w:eastAsia="Calibri"/>
                <w:b w:val="0"/>
                <w:i w:val="0"/>
                <w:color w:val="324D59"/>
                <w:sz w:val="16"/>
              </w:rPr>
              <w:t>PM</w:t>
            </w:r>
            <w:r>
              <w:rPr>
                <w:rFonts w:ascii="Calibri" w:hAnsi="Calibri" w:eastAsia="Calibri"/>
                <w:b w:val="0"/>
                <w:i w:val="0"/>
                <w:color w:val="324D59"/>
                <w:sz w:val="16"/>
                <w:vertAlign w:val="subscript"/>
              </w:rPr>
              <w:t>10</w:t>
            </w:r>
          </w:p>
        </w:tc>
        <w:tc>
          <w:tcPr>
            <w:tcW w:type="dxa" w:w="3703"/>
            <w:shd w:val="clear" w:color="auto" w:fill="FFFFFF"/>
          </w:tcPr>
          <w:p>
            <w:pPr>
              <w:spacing w:after="0"/>
            </w:pPr>
            <w:r>
              <w:rPr>
                <w:rFonts w:ascii="Calibri" w:hAnsi="Calibri" w:eastAsia="Calibri"/>
                <w:b w:val="0"/>
                <w:i w:val="0"/>
                <w:color w:val="324D59"/>
                <w:sz w:val="16"/>
              </w:rPr>
              <w:t>NOM-025-SSA1-2021</w:t>
            </w:r>
          </w:p>
        </w:tc>
      </w:tr>
      <w:tr>
        <w:tc>
          <w:tcPr>
            <w:tcW w:type="dxa" w:w="4483"/>
            <w:shd w:val="clear" w:color="auto" w:fill="E3E9EC"/>
          </w:tcPr>
          <w:p>
            <w:pPr>
              <w:spacing w:after="0"/>
            </w:pPr>
            <w:r>
              <w:rPr>
                <w:rFonts w:ascii="Calibri" w:hAnsi="Calibri" w:eastAsia="Calibri"/>
                <w:b w:val="0"/>
                <w:i w:val="0"/>
                <w:color w:val="324D59"/>
                <w:sz w:val="16"/>
              </w:rPr>
              <w:t>Partículas (diámetro ≤ 2.5 μm)</w:t>
            </w:r>
          </w:p>
        </w:tc>
        <w:tc>
          <w:tcPr>
            <w:tcW w:type="dxa" w:w="1559"/>
            <w:shd w:val="clear" w:color="auto" w:fill="E3E9EC"/>
          </w:tcPr>
          <w:p>
            <w:pPr>
              <w:spacing w:after="0"/>
              <w:jc w:val="center"/>
            </w:pPr>
            <w:r>
              <w:rPr>
                <w:rFonts w:ascii="Calibri" w:hAnsi="Calibri" w:eastAsia="Calibri"/>
                <w:b w:val="0"/>
                <w:i w:val="0"/>
                <w:color w:val="324D59"/>
                <w:sz w:val="16"/>
              </w:rPr>
              <w:t>PM</w:t>
            </w:r>
            <w:r>
              <w:rPr>
                <w:rFonts w:ascii="Calibri" w:hAnsi="Calibri" w:eastAsia="Calibri"/>
                <w:b w:val="0"/>
                <w:i w:val="0"/>
                <w:color w:val="324D59"/>
                <w:sz w:val="16"/>
                <w:vertAlign w:val="subscript"/>
              </w:rPr>
              <w:t>2.5</w:t>
            </w:r>
          </w:p>
        </w:tc>
        <w:tc>
          <w:tcPr>
            <w:tcW w:type="dxa" w:w="3703"/>
            <w:shd w:val="clear" w:color="auto" w:fill="E3E9EC"/>
          </w:tcPr>
          <w:p>
            <w:pPr>
              <w:spacing w:after="0"/>
            </w:pPr>
            <w:r>
              <w:rPr>
                <w:rFonts w:ascii="Calibri" w:hAnsi="Calibri" w:eastAsia="Calibri"/>
                <w:b w:val="0"/>
                <w:i w:val="0"/>
                <w:color w:val="324D59"/>
                <w:sz w:val="16"/>
              </w:rPr>
              <w:t>NOM-025-SSA1-2021</w:t>
            </w:r>
          </w:p>
        </w:tc>
      </w:tr>
    </w:tbl>
    <w:p>
      <w:pPr>
        <w:spacing w:after="80"/>
      </w:pPr>
    </w:p>
    <w:tbl>
      <w:tblPr>
        <w:tblW w:type="auto" w:w="0"/>
        <w:jc w:val="center"/>
        <w:tblLayout w:type="fixed"/>
        <w:tblLook w:firstColumn="1" w:firstRow="1" w:lastColumn="0" w:lastRow="0" w:noHBand="0" w:noVBand="1" w:val="04A0"/>
        <w:tblBorders>
          <w:top w:val="single" w:sz="4" w:space="0" w:color="D7DEE1"/>
          <w:left w:val="single" w:sz="4" w:space="0" w:color="D7DEE1"/>
          <w:bottom w:val="single" w:sz="4" w:space="0" w:color="D7DEE1"/>
          <w:right w:val="single" w:sz="4" w:space="0" w:color="D7DEE1"/>
          <w:insideH w:val="single" w:sz="4" w:space="0" w:color="D7DEE1"/>
          <w:insideV w:val="single" w:sz="4" w:space="0" w:color="D7DEE1"/>
        </w:tblBorders>
      </w:tblPr>
      <w:tblGrid>
        <w:gridCol w:w="9746"/>
      </w:tblGrid>
      <w:tr>
        <w:tc>
          <w:tcPr>
            <w:tcW w:type="dxa" w:w="9746"/>
            <w:shd w:val="clear" w:color="auto" w:fill="EAF8F6"/>
          </w:tcPr>
          <w:p>
            <w:pPr>
              <w:spacing w:after="0"/>
            </w:pPr>
            <w:r>
              <w:rPr>
                <w:rFonts w:ascii="Calibri" w:hAnsi="Calibri" w:eastAsia="Calibri"/>
                <w:b w:val="0"/>
                <w:i w:val="0"/>
                <w:color w:val="324D59"/>
                <w:sz w:val="16"/>
              </w:rPr>
              <w:t xml:space="preserve">La evaluación en este informe considera </w:t>
            </w:r>
            <w:r>
              <w:rPr>
                <w:rFonts w:ascii="Calibri" w:hAnsi="Calibri" w:eastAsia="Calibri"/>
                <w:b/>
                <w:i w:val="0"/>
                <w:color w:val="324D59"/>
                <w:sz w:val="16"/>
              </w:rPr>
              <w:t>O</w:t>
            </w:r>
            <w:r>
              <w:rPr>
                <w:rFonts w:ascii="Calibri" w:hAnsi="Calibri" w:eastAsia="Calibri"/>
                <w:b/>
                <w:i w:val="0"/>
                <w:color w:val="324D59"/>
                <w:sz w:val="16"/>
                <w:vertAlign w:val="subscript"/>
              </w:rPr>
              <w:t>3</w:t>
            </w:r>
            <w:r>
              <w:rPr>
                <w:rFonts w:ascii="Calibri" w:hAnsi="Calibri" w:eastAsia="Calibri"/>
                <w:b/>
                <w:i w:val="0"/>
                <w:color w:val="324D59"/>
                <w:sz w:val="16"/>
              </w:rPr>
              <w:t>, PM</w:t>
            </w:r>
            <w:r>
              <w:rPr>
                <w:rFonts w:ascii="Calibri" w:hAnsi="Calibri" w:eastAsia="Calibri"/>
                <w:b/>
                <w:i w:val="0"/>
                <w:color w:val="324D59"/>
                <w:sz w:val="16"/>
                <w:vertAlign w:val="subscript"/>
              </w:rPr>
              <w:t>10</w:t>
            </w:r>
            <w:r>
              <w:rPr>
                <w:rFonts w:ascii="Calibri" w:hAnsi="Calibri" w:eastAsia="Calibri"/>
                <w:b/>
                <w:i w:val="0"/>
                <w:color w:val="324D59"/>
                <w:sz w:val="16"/>
              </w:rPr>
              <w:t>, PM</w:t>
            </w:r>
            <w:r>
              <w:rPr>
                <w:rFonts w:ascii="Calibri" w:hAnsi="Calibri" w:eastAsia="Calibri"/>
                <w:b/>
                <w:i w:val="0"/>
                <w:color w:val="324D59"/>
                <w:sz w:val="16"/>
                <w:vertAlign w:val="subscript"/>
              </w:rPr>
              <w:t>2.5</w:t>
            </w:r>
            <w:r>
              <w:rPr>
                <w:rFonts w:ascii="Calibri" w:hAnsi="Calibri" w:eastAsia="Calibri"/>
                <w:b/>
                <w:i w:val="0"/>
                <w:color w:val="324D59"/>
                <w:sz w:val="16"/>
              </w:rPr>
              <w:t>, SO</w:t>
            </w:r>
            <w:r>
              <w:rPr>
                <w:rFonts w:ascii="Calibri" w:hAnsi="Calibri" w:eastAsia="Calibri"/>
                <w:b/>
                <w:i w:val="0"/>
                <w:color w:val="324D59"/>
                <w:sz w:val="16"/>
                <w:vertAlign w:val="subscript"/>
              </w:rPr>
              <w:t>2</w:t>
            </w:r>
            <w:r>
              <w:rPr>
                <w:rFonts w:ascii="Calibri" w:hAnsi="Calibri" w:eastAsia="Calibri"/>
                <w:b/>
                <w:i w:val="0"/>
                <w:color w:val="324D59"/>
                <w:sz w:val="16"/>
              </w:rPr>
              <w:t xml:space="preserve"> y CO</w:t>
            </w:r>
            <w:r>
              <w:rPr>
                <w:rFonts w:ascii="Calibri" w:hAnsi="Calibri" w:eastAsia="Calibri"/>
                <w:b w:val="0"/>
                <w:i w:val="0"/>
                <w:color w:val="324D59"/>
                <w:sz w:val="16"/>
              </w:rPr>
              <w:t>. NO</w:t>
            </w:r>
            <w:r>
              <w:rPr>
                <w:rFonts w:ascii="Calibri" w:hAnsi="Calibri" w:eastAsia="Calibri"/>
                <w:b w:val="0"/>
                <w:i w:val="0"/>
                <w:color w:val="324D59"/>
                <w:sz w:val="16"/>
                <w:vertAlign w:val="subscript"/>
              </w:rPr>
              <w:t>2</w:t>
            </w:r>
            <w:r>
              <w:rPr>
                <w:rFonts w:ascii="Calibri" w:hAnsi="Calibri" w:eastAsia="Calibri"/>
                <w:b w:val="0"/>
                <w:i w:val="0"/>
                <w:color w:val="324D59"/>
                <w:sz w:val="16"/>
              </w:rPr>
              <w:t xml:space="preserve"> y SO</w:t>
            </w:r>
            <w:r>
              <w:rPr>
                <w:rFonts w:ascii="Calibri" w:hAnsi="Calibri" w:eastAsia="Calibri"/>
                <w:b w:val="0"/>
                <w:i w:val="0"/>
                <w:color w:val="324D59"/>
                <w:sz w:val="16"/>
                <w:vertAlign w:val="subscript"/>
              </w:rPr>
              <w:t>2</w:t>
            </w:r>
            <w:r>
              <w:rPr>
                <w:rFonts w:ascii="Calibri" w:hAnsi="Calibri" w:eastAsia="Calibri"/>
                <w:b w:val="0"/>
                <w:i w:val="0"/>
                <w:color w:val="324D59"/>
                <w:sz w:val="16"/>
              </w:rPr>
              <w:t xml:space="preserve"> fue excluido de la evaluación anual debido a la modernización de la red en 2024, ya que se reemplazaron los analizadores y no cumple con la suficiencia anual requerida por la NOM para su análisis.</w:t>
            </w:r>
          </w:p>
        </w:tc>
      </w:tr>
    </w:tbl>
    <w:p>
      <w:pPr>
        <w:spacing w:after="80"/>
      </w:pPr>
    </w:p>
    <w:p>
      <w:pPr>
        <w:spacing w:after="160"/>
        <w:jc w:val="both"/>
      </w:pPr>
      <w:r>
        <w:rPr>
          <w:rFonts w:ascii="Calibri" w:hAnsi="Calibri" w:eastAsia="Calibri"/>
          <w:b w:val="0"/>
          <w:i w:val="0"/>
          <w:color w:val="324D59"/>
          <w:sz w:val="22"/>
        </w:rPr>
        <w:t>Por otra parte, el IAS clasifica la calidad del aire en cinco categorías: Buena, Aceptable, Mala, Muy mala y Extremadamente mala. Cada categoría está representada por un color y se acompaña de recomendaciones para reducir la exposición cuando los niveles de contaminación representan un riesgo para la salud. La Tabla 4 muestra las categorías del Índice Aire y Salud y los niveles de riesgo asociados.</w:t>
      </w:r>
    </w:p>
    <w:p>
      <w:pPr>
        <w:keepNext/>
        <w:spacing w:before="160"/>
      </w:pPr>
      <w:r>
        <w:rPr>
          <w:rFonts w:ascii="Calibri" w:hAnsi="Calibri" w:eastAsia="Calibri"/>
          <w:b/>
          <w:i w:val="0"/>
          <w:color w:val="173D4C"/>
          <w:sz w:val="19"/>
        </w:rPr>
        <w:t>Tabla 4. Categorías, riesgo asociado para la salud y recomendaciones del Índice Aire y Salud.</w:t>
      </w:r>
    </w:p>
    <w:tbl>
      <w:tblPr>
        <w:tblW w:type="auto" w:w="0"/>
        <w:jc w:val="center"/>
        <w:tblLayout w:type="fixed"/>
        <w:tblLook w:firstColumn="1" w:firstRow="1" w:lastColumn="0" w:lastRow="0" w:noHBand="0" w:noVBand="1" w:val="04A0"/>
        <w:tblBorders>
          <w:top w:val="single" w:sz="4" w:space="0" w:color="D7DEE1"/>
          <w:left w:val="single" w:sz="4" w:space="0" w:color="D7DEE1"/>
          <w:bottom w:val="single" w:sz="4" w:space="0" w:color="D7DEE1"/>
          <w:right w:val="single" w:sz="4" w:space="0" w:color="D7DEE1"/>
          <w:insideH w:val="single" w:sz="4" w:space="0" w:color="D7DEE1"/>
          <w:insideV w:val="single" w:sz="4" w:space="0" w:color="D7DEE1"/>
        </w:tblBorders>
      </w:tblPr>
      <w:tblGrid>
        <w:gridCol w:w="1949"/>
        <w:gridCol w:w="1949"/>
        <w:gridCol w:w="1949"/>
        <w:gridCol w:w="1949"/>
        <w:gridCol w:w="1949"/>
      </w:tblGrid>
      <w:tr>
        <w:trPr>
          <w:tblHeader/>
          <w:cantSplit/>
        </w:trPr>
        <w:tc>
          <w:tcPr>
            <w:tcW w:type="dxa" w:w="1852"/>
            <w:vMerge w:val="restart"/>
            <w:shd w:val="clear" w:color="auto" w:fill="173D4C"/>
          </w:tcPr>
          <w:p>
            <w:pPr>
              <w:keepNext/>
              <w:spacing w:after="0"/>
              <w:jc w:val="center"/>
            </w:pPr>
            <w:r>
              <w:rPr>
                <w:rFonts w:ascii="Calibri" w:hAnsi="Calibri" w:eastAsia="Calibri"/>
                <w:b/>
                <w:i w:val="0"/>
                <w:color w:val="FFFFFF"/>
                <w:sz w:val="16"/>
              </w:rPr>
              <w:t>Calidad del aire</w:t>
            </w:r>
          </w:p>
        </w:tc>
        <w:tc>
          <w:tcPr>
            <w:tcW w:type="dxa" w:w="877"/>
            <w:vMerge w:val="restart"/>
            <w:shd w:val="clear" w:color="auto" w:fill="173D4C"/>
          </w:tcPr>
          <w:p>
            <w:pPr>
              <w:keepNext/>
              <w:spacing w:after="0"/>
              <w:jc w:val="center"/>
            </w:pPr>
            <w:r>
              <w:rPr>
                <w:rFonts w:ascii="Calibri" w:hAnsi="Calibri" w:eastAsia="Calibri"/>
                <w:b/>
                <w:i w:val="0"/>
                <w:color w:val="FFFFFF"/>
                <w:sz w:val="16"/>
              </w:rPr>
              <w:t>Color</w:t>
            </w:r>
          </w:p>
        </w:tc>
        <w:tc>
          <w:tcPr>
            <w:tcW w:type="dxa" w:w="1949"/>
            <w:vMerge w:val="restart"/>
            <w:shd w:val="clear" w:color="auto" w:fill="173D4C"/>
          </w:tcPr>
          <w:p>
            <w:pPr>
              <w:keepNext/>
              <w:spacing w:after="0"/>
              <w:jc w:val="center"/>
            </w:pPr>
            <w:r>
              <w:rPr>
                <w:rFonts w:ascii="Calibri" w:hAnsi="Calibri" w:eastAsia="Calibri"/>
                <w:b/>
                <w:i w:val="0"/>
                <w:color w:val="FFFFFF"/>
                <w:sz w:val="16"/>
              </w:rPr>
              <w:t>Riesgo asociado</w:t>
            </w:r>
          </w:p>
        </w:tc>
        <w:tc>
          <w:tcPr>
            <w:tcW w:type="dxa" w:w="5068"/>
            <w:gridSpan w:val="2"/>
            <w:shd w:val="clear" w:color="auto" w:fill="173D4C"/>
          </w:tcPr>
          <w:p>
            <w:pPr>
              <w:keepNext/>
              <w:spacing w:after="0"/>
              <w:jc w:val="center"/>
            </w:pPr>
            <w:r>
              <w:rPr>
                <w:rFonts w:ascii="Calibri" w:hAnsi="Calibri" w:eastAsia="Calibri"/>
                <w:b/>
                <w:i w:val="0"/>
                <w:color w:val="FFFFFF"/>
                <w:sz w:val="16"/>
              </w:rPr>
              <w:t>Recomendaciones</w:t>
            </w:r>
          </w:p>
        </w:tc>
      </w:tr>
      <w:tr>
        <w:trPr>
          <w:tblHeader/>
          <w:cantSplit/>
        </w:trPr>
        <w:tc>
          <w:tcPr>
            <w:tcW w:type="dxa" w:w="1852"/>
            <w:vMerge/>
            <w:shd w:val="clear" w:color="auto" w:fill="173D4C"/>
          </w:tcPr>
          <w:p>
            <w:pPr>
              <w:keepNext/>
              <w:spacing w:after="0"/>
            </w:pPr>
          </w:p>
        </w:tc>
        <w:tc>
          <w:tcPr>
            <w:tcW w:type="dxa" w:w="877"/>
            <w:vMerge/>
            <w:shd w:val="clear" w:color="auto" w:fill="173D4C"/>
          </w:tcPr>
          <w:p>
            <w:pPr>
              <w:keepNext/>
              <w:spacing w:after="0"/>
            </w:pPr>
          </w:p>
        </w:tc>
        <w:tc>
          <w:tcPr>
            <w:tcW w:type="dxa" w:w="1949"/>
            <w:vMerge/>
            <w:shd w:val="clear" w:color="auto" w:fill="173D4C"/>
          </w:tcPr>
          <w:p>
            <w:pPr>
              <w:keepNext/>
              <w:spacing w:after="0"/>
            </w:pPr>
          </w:p>
        </w:tc>
        <w:tc>
          <w:tcPr>
            <w:tcW w:type="dxa" w:w="2534"/>
            <w:shd w:val="clear" w:color="auto" w:fill="173D4C"/>
          </w:tcPr>
          <w:p>
            <w:pPr>
              <w:keepNext/>
              <w:spacing w:after="0"/>
              <w:jc w:val="center"/>
            </w:pPr>
            <w:r>
              <w:rPr>
                <w:rFonts w:ascii="Calibri" w:hAnsi="Calibri" w:eastAsia="Calibri"/>
                <w:b/>
                <w:i w:val="0"/>
                <w:color w:val="FFFFFF"/>
                <w:sz w:val="16"/>
              </w:rPr>
              <w:t>Población general</w:t>
            </w:r>
          </w:p>
        </w:tc>
        <w:tc>
          <w:tcPr>
            <w:tcW w:type="dxa" w:w="2534"/>
            <w:shd w:val="clear" w:color="auto" w:fill="173D4C"/>
          </w:tcPr>
          <w:p>
            <w:pPr>
              <w:keepNext/>
              <w:spacing w:after="0"/>
              <w:jc w:val="center"/>
            </w:pPr>
            <w:r>
              <w:rPr>
                <w:rFonts w:ascii="Calibri" w:hAnsi="Calibri" w:eastAsia="Calibri"/>
                <w:b/>
                <w:i w:val="0"/>
                <w:color w:val="FFFFFF"/>
                <w:sz w:val="16"/>
              </w:rPr>
              <w:t>Grupos sensibles</w:t>
            </w:r>
          </w:p>
        </w:tc>
      </w:tr>
      <w:tr>
        <w:tc>
          <w:tcPr>
            <w:tcW w:type="dxa" w:w="1852"/>
            <w:shd w:val="clear" w:color="auto" w:fill="FFFFFF"/>
          </w:tcPr>
          <w:p>
            <w:pPr>
              <w:spacing w:after="0"/>
            </w:pPr>
            <w:r>
              <w:rPr>
                <w:rFonts w:ascii="Calibri" w:hAnsi="Calibri" w:eastAsia="Calibri"/>
                <w:b/>
                <w:i w:val="0"/>
                <w:color w:val="173D4C"/>
                <w:sz w:val="16"/>
              </w:rPr>
              <w:t>Buena</w:t>
            </w:r>
          </w:p>
        </w:tc>
        <w:tc>
          <w:tcPr>
            <w:tcW w:type="dxa" w:w="877"/>
            <w:shd w:val="clear" w:color="auto" w:fill="2E9E3B"/>
          </w:tcPr>
          <w:p>
            <w:pPr>
              <w:spacing w:after="0"/>
            </w:pPr>
          </w:p>
        </w:tc>
        <w:tc>
          <w:tcPr>
            <w:tcW w:type="dxa" w:w="1949"/>
            <w:shd w:val="clear" w:color="auto" w:fill="FFFFFF"/>
          </w:tcPr>
          <w:p>
            <w:pPr>
              <w:spacing w:after="0"/>
            </w:pPr>
            <w:r>
              <w:rPr>
                <w:rFonts w:ascii="Calibri" w:hAnsi="Calibri" w:eastAsia="Calibri"/>
                <w:b w:val="0"/>
                <w:i w:val="0"/>
                <w:color w:val="324D59"/>
                <w:sz w:val="16"/>
              </w:rPr>
              <w:t>Bajo</w:t>
            </w:r>
          </w:p>
        </w:tc>
        <w:tc>
          <w:tcPr>
            <w:tcW w:type="dxa" w:w="5068"/>
            <w:gridSpan w:val="2"/>
            <w:shd w:val="clear" w:color="auto" w:fill="FFFFFF"/>
          </w:tcPr>
          <w:p>
            <w:pPr>
              <w:spacing w:after="0"/>
            </w:pPr>
            <w:r>
              <w:rPr>
                <w:rFonts w:ascii="Calibri" w:hAnsi="Calibri" w:eastAsia="Calibri"/>
                <w:b w:val="0"/>
                <w:i w:val="0"/>
                <w:color w:val="324D59"/>
                <w:sz w:val="16"/>
              </w:rPr>
              <w:t>Disfruta de las actividades al aire libre.</w:t>
            </w:r>
          </w:p>
        </w:tc>
      </w:tr>
      <w:tr>
        <w:tc>
          <w:tcPr>
            <w:tcW w:type="dxa" w:w="1852"/>
            <w:shd w:val="clear" w:color="auto" w:fill="E3E9EC"/>
          </w:tcPr>
          <w:p>
            <w:pPr>
              <w:spacing w:after="0"/>
            </w:pPr>
            <w:r>
              <w:rPr>
                <w:rFonts w:ascii="Calibri" w:hAnsi="Calibri" w:eastAsia="Calibri"/>
                <w:b/>
                <w:i w:val="0"/>
                <w:color w:val="173D4C"/>
                <w:sz w:val="16"/>
              </w:rPr>
              <w:t>Aceptable</w:t>
            </w:r>
          </w:p>
        </w:tc>
        <w:tc>
          <w:tcPr>
            <w:tcW w:type="dxa" w:w="877"/>
            <w:shd w:val="clear" w:color="auto" w:fill="D9B32C"/>
          </w:tcPr>
          <w:p>
            <w:pPr>
              <w:spacing w:after="0"/>
            </w:pPr>
          </w:p>
        </w:tc>
        <w:tc>
          <w:tcPr>
            <w:tcW w:type="dxa" w:w="1949"/>
            <w:shd w:val="clear" w:color="auto" w:fill="E3E9EC"/>
          </w:tcPr>
          <w:p>
            <w:pPr>
              <w:spacing w:after="0"/>
            </w:pPr>
            <w:r>
              <w:rPr>
                <w:rFonts w:ascii="Calibri" w:hAnsi="Calibri" w:eastAsia="Calibri"/>
                <w:b w:val="0"/>
                <w:i w:val="0"/>
                <w:color w:val="324D59"/>
                <w:sz w:val="16"/>
              </w:rPr>
              <w:t>Moderado</w:t>
            </w:r>
          </w:p>
        </w:tc>
        <w:tc>
          <w:tcPr>
            <w:tcW w:type="dxa" w:w="2534"/>
            <w:shd w:val="clear" w:color="auto" w:fill="E3E9EC"/>
          </w:tcPr>
          <w:p>
            <w:pPr>
              <w:spacing w:after="0"/>
            </w:pPr>
            <w:r>
              <w:rPr>
                <w:rFonts w:ascii="Calibri" w:hAnsi="Calibri" w:eastAsia="Calibri"/>
                <w:b w:val="0"/>
                <w:i w:val="0"/>
                <w:color w:val="324D59"/>
                <w:sz w:val="16"/>
              </w:rPr>
              <w:t>Disfruta de las actividades al aire libre.</w:t>
            </w:r>
          </w:p>
        </w:tc>
        <w:tc>
          <w:tcPr>
            <w:tcW w:type="dxa" w:w="2534"/>
            <w:shd w:val="clear" w:color="auto" w:fill="E3E9EC"/>
          </w:tcPr>
          <w:p>
            <w:pPr>
              <w:spacing w:after="0"/>
            </w:pPr>
            <w:r>
              <w:rPr>
                <w:rFonts w:ascii="Calibri" w:hAnsi="Calibri" w:eastAsia="Calibri"/>
                <w:b w:val="0"/>
                <w:i w:val="0"/>
                <w:color w:val="324D59"/>
                <w:sz w:val="16"/>
              </w:rPr>
              <w:t>Reduce las actividades físicas vigorosas al aire libre.</w:t>
            </w:r>
          </w:p>
        </w:tc>
      </w:tr>
      <w:tr>
        <w:tc>
          <w:tcPr>
            <w:tcW w:type="dxa" w:w="1852"/>
            <w:shd w:val="clear" w:color="auto" w:fill="FFFFFF"/>
          </w:tcPr>
          <w:p>
            <w:pPr>
              <w:spacing w:after="0"/>
            </w:pPr>
            <w:r>
              <w:rPr>
                <w:rFonts w:ascii="Calibri" w:hAnsi="Calibri" w:eastAsia="Calibri"/>
                <w:b/>
                <w:i w:val="0"/>
                <w:color w:val="173D4C"/>
                <w:sz w:val="16"/>
              </w:rPr>
              <w:t>Mala</w:t>
            </w:r>
          </w:p>
        </w:tc>
        <w:tc>
          <w:tcPr>
            <w:tcW w:type="dxa" w:w="877"/>
            <w:shd w:val="clear" w:color="auto" w:fill="E8813A"/>
          </w:tcPr>
          <w:p>
            <w:pPr>
              <w:spacing w:after="0"/>
            </w:pPr>
          </w:p>
        </w:tc>
        <w:tc>
          <w:tcPr>
            <w:tcW w:type="dxa" w:w="1949"/>
            <w:shd w:val="clear" w:color="auto" w:fill="FFFFFF"/>
          </w:tcPr>
          <w:p>
            <w:pPr>
              <w:spacing w:after="0"/>
            </w:pPr>
            <w:r>
              <w:rPr>
                <w:rFonts w:ascii="Calibri" w:hAnsi="Calibri" w:eastAsia="Calibri"/>
                <w:b w:val="0"/>
                <w:i w:val="0"/>
                <w:color w:val="324D59"/>
                <w:sz w:val="16"/>
              </w:rPr>
              <w:t>Alto</w:t>
            </w:r>
          </w:p>
        </w:tc>
        <w:tc>
          <w:tcPr>
            <w:tcW w:type="dxa" w:w="2534"/>
            <w:shd w:val="clear" w:color="auto" w:fill="FFFFFF"/>
          </w:tcPr>
          <w:p>
            <w:pPr>
              <w:spacing w:after="0"/>
            </w:pPr>
            <w:r>
              <w:rPr>
                <w:rFonts w:ascii="Calibri" w:hAnsi="Calibri" w:eastAsia="Calibri"/>
                <w:b w:val="0"/>
                <w:i w:val="0"/>
                <w:color w:val="324D59"/>
                <w:sz w:val="16"/>
              </w:rPr>
              <w:t>Reduce las actividades físicas vigorosas al aire libre.</w:t>
            </w:r>
          </w:p>
        </w:tc>
        <w:tc>
          <w:tcPr>
            <w:tcW w:type="dxa" w:w="2534"/>
            <w:shd w:val="clear" w:color="auto" w:fill="FFFFFF"/>
          </w:tcPr>
          <w:p>
            <w:pPr>
              <w:spacing w:after="0"/>
            </w:pPr>
            <w:r>
              <w:rPr>
                <w:rFonts w:ascii="Calibri" w:hAnsi="Calibri" w:eastAsia="Calibri"/>
                <w:b w:val="0"/>
                <w:i w:val="0"/>
                <w:color w:val="324D59"/>
                <w:sz w:val="16"/>
              </w:rPr>
              <w:t>Evita las actividades físicas al aire libre.</w:t>
            </w:r>
          </w:p>
        </w:tc>
      </w:tr>
      <w:tr>
        <w:tc>
          <w:tcPr>
            <w:tcW w:type="dxa" w:w="1852"/>
            <w:shd w:val="clear" w:color="auto" w:fill="E3E9EC"/>
          </w:tcPr>
          <w:p>
            <w:pPr>
              <w:spacing w:after="0"/>
            </w:pPr>
            <w:r>
              <w:rPr>
                <w:rFonts w:ascii="Calibri" w:hAnsi="Calibri" w:eastAsia="Calibri"/>
                <w:b/>
                <w:i w:val="0"/>
                <w:color w:val="173D4C"/>
                <w:sz w:val="16"/>
              </w:rPr>
              <w:t>Muy Mala</w:t>
            </w:r>
          </w:p>
        </w:tc>
        <w:tc>
          <w:tcPr>
            <w:tcW w:type="dxa" w:w="877"/>
            <w:shd w:val="clear" w:color="auto" w:fill="D0453F"/>
          </w:tcPr>
          <w:p>
            <w:pPr>
              <w:spacing w:after="0"/>
            </w:pPr>
          </w:p>
        </w:tc>
        <w:tc>
          <w:tcPr>
            <w:tcW w:type="dxa" w:w="1949"/>
            <w:shd w:val="clear" w:color="auto" w:fill="E3E9EC"/>
          </w:tcPr>
          <w:p>
            <w:pPr>
              <w:spacing w:after="0"/>
            </w:pPr>
            <w:r>
              <w:rPr>
                <w:rFonts w:ascii="Calibri" w:hAnsi="Calibri" w:eastAsia="Calibri"/>
                <w:b w:val="0"/>
                <w:i w:val="0"/>
                <w:color w:val="324D59"/>
                <w:sz w:val="16"/>
              </w:rPr>
              <w:t>Muy alto</w:t>
            </w:r>
          </w:p>
        </w:tc>
        <w:tc>
          <w:tcPr>
            <w:tcW w:type="dxa" w:w="2534"/>
            <w:shd w:val="clear" w:color="auto" w:fill="E3E9EC"/>
          </w:tcPr>
          <w:p>
            <w:pPr>
              <w:spacing w:after="0"/>
            </w:pPr>
            <w:r>
              <w:rPr>
                <w:rFonts w:ascii="Calibri" w:hAnsi="Calibri" w:eastAsia="Calibri"/>
                <w:b w:val="0"/>
                <w:i w:val="0"/>
                <w:color w:val="324D59"/>
                <w:sz w:val="16"/>
              </w:rPr>
              <w:t>Evita las actividades físicas al aire libre.</w:t>
            </w:r>
          </w:p>
        </w:tc>
        <w:tc>
          <w:tcPr>
            <w:tcW w:type="dxa" w:w="2534"/>
            <w:shd w:val="clear" w:color="auto" w:fill="E3E9EC"/>
          </w:tcPr>
          <w:p>
            <w:pPr>
              <w:spacing w:after="0"/>
            </w:pPr>
            <w:r>
              <w:rPr>
                <w:rFonts w:ascii="Calibri" w:hAnsi="Calibri" w:eastAsia="Calibri"/>
                <w:b w:val="0"/>
                <w:i w:val="0"/>
                <w:color w:val="324D59"/>
                <w:sz w:val="16"/>
              </w:rPr>
              <w:t>Limita estar al aire libre.</w:t>
            </w:r>
          </w:p>
        </w:tc>
      </w:tr>
      <w:tr>
        <w:tc>
          <w:tcPr>
            <w:tcW w:type="dxa" w:w="1852"/>
            <w:shd w:val="clear" w:color="auto" w:fill="FFFFFF"/>
          </w:tcPr>
          <w:p>
            <w:pPr>
              <w:spacing w:after="0"/>
            </w:pPr>
            <w:r>
              <w:rPr>
                <w:rFonts w:ascii="Calibri" w:hAnsi="Calibri" w:eastAsia="Calibri"/>
                <w:b/>
                <w:i w:val="0"/>
                <w:color w:val="173D4C"/>
                <w:sz w:val="16"/>
              </w:rPr>
              <w:t>Extremadamente mala</w:t>
            </w:r>
          </w:p>
        </w:tc>
        <w:tc>
          <w:tcPr>
            <w:tcW w:type="dxa" w:w="877"/>
            <w:shd w:val="clear" w:color="auto" w:fill="7A3FA0"/>
          </w:tcPr>
          <w:p>
            <w:pPr>
              <w:spacing w:after="0"/>
            </w:pPr>
          </w:p>
        </w:tc>
        <w:tc>
          <w:tcPr>
            <w:tcW w:type="dxa" w:w="1949"/>
            <w:shd w:val="clear" w:color="auto" w:fill="FFFFFF"/>
          </w:tcPr>
          <w:p>
            <w:pPr>
              <w:spacing w:after="0"/>
            </w:pPr>
            <w:r>
              <w:rPr>
                <w:rFonts w:ascii="Calibri" w:hAnsi="Calibri" w:eastAsia="Calibri"/>
                <w:b w:val="0"/>
                <w:i w:val="0"/>
                <w:color w:val="324D59"/>
                <w:sz w:val="16"/>
              </w:rPr>
              <w:t>Extremadamente alto</w:t>
            </w:r>
          </w:p>
        </w:tc>
        <w:tc>
          <w:tcPr>
            <w:tcW w:type="dxa" w:w="5068"/>
            <w:gridSpan w:val="2"/>
            <w:shd w:val="clear" w:color="auto" w:fill="FFFFFF"/>
          </w:tcPr>
          <w:p>
            <w:pPr>
              <w:spacing w:after="0"/>
            </w:pPr>
            <w:r>
              <w:rPr>
                <w:rFonts w:ascii="Calibri" w:hAnsi="Calibri" w:eastAsia="Calibri"/>
                <w:b w:val="0"/>
                <w:i w:val="0"/>
                <w:color w:val="324D59"/>
                <w:sz w:val="16"/>
              </w:rPr>
              <w:t>Permanece en interiores y evita cualquier esfuerzo físico al aire libre.</w:t>
            </w:r>
          </w:p>
        </w:tc>
      </w:tr>
    </w:tbl>
    <w:p>
      <w:pPr>
        <w:spacing w:after="80"/>
      </w:pPr>
    </w:p>
    <w:p>
      <w:pPr>
        <w:pStyle w:val="Heading1"/>
      </w:pPr>
      <w:r>
        <w:rPr>
          <w:rFonts w:ascii="Calibri" w:hAnsi="Calibri" w:eastAsia="Calibri"/>
          <w:b/>
          <w:i w:val="0"/>
          <w:color w:val="173D4C"/>
          <w:sz w:val="30"/>
        </w:rPr>
        <w:t>Panorama general de la calidad del aire en el AMG durante 2024</w:t>
      </w:r>
    </w:p>
    <w:p>
      <w:pPr>
        <w:spacing w:after="160"/>
        <w:jc w:val="both"/>
      </w:pPr>
      <w:r>
        <w:rPr>
          <w:rFonts w:ascii="Calibri" w:hAnsi="Calibri" w:eastAsia="Calibri"/>
          <w:b w:val="0"/>
          <w:i w:val="0"/>
          <w:color w:val="324D59"/>
          <w:sz w:val="22"/>
        </w:rPr>
        <w:t>Para presentar un panorama general de la calidad del aire en el AMG, se contabilizan los días en los que todos los contaminantes criterio medidos en la estación se mantuvieron dentro de las categorías Buena o Aceptable del Índice Aire y Salud.</w:t>
      </w:r>
    </w:p>
    <w:p>
      <w:pPr>
        <w:spacing w:after="160"/>
        <w:jc w:val="both"/>
      </w:pPr>
      <w:r>
        <w:rPr>
          <w:rFonts w:ascii="Calibri" w:hAnsi="Calibri" w:eastAsia="Calibri"/>
          <w:b w:val="0"/>
          <w:i w:val="0"/>
          <w:color w:val="324D59"/>
          <w:sz w:val="22"/>
        </w:rPr>
        <w:t>Durante 2024 se registraron 80 días con calidad del aire Buena o Aceptable en el AMG, lo que representa 24 días más que en 2023, equivalentes a un incremento aproximado de 43%. La Figura 2 muestra la evolución anual de este indicador entre 2019 y 2024. En este periodo, el mayor número de días con calidad del aire Buena o Aceptable se registró en 2021, con 120 días, mientras que 2019 presentó el valor más bajo, con 46 días.</w:t>
      </w:r>
    </w:p>
    <w:p>
      <w:pPr>
        <w:keepNext/>
        <w:spacing w:before="160"/>
      </w:pPr>
      <w:r>
        <w:rPr>
          <w:rFonts w:ascii="Calibri" w:hAnsi="Calibri" w:eastAsia="Calibri"/>
          <w:b/>
          <w:i w:val="0"/>
          <w:color w:val="173D4C"/>
          <w:sz w:val="19"/>
        </w:rPr>
        <w:t>Figura 2. Días con calidad del aire Buena o Aceptable en el AMG.</w:t>
      </w:r>
    </w:p>
    <w:p>
      <w:pPr>
        <w:jc w:val="center"/>
      </w:pPr>
      <w:r>
        <w:drawing>
          <wp:inline xmlns:a="http://schemas.openxmlformats.org/drawingml/2006/main" xmlns:pic="http://schemas.openxmlformats.org/drawingml/2006/picture">
            <wp:extent cx="6188400" cy="2306893"/>
            <wp:docPr id="3" name="Picture 3"/>
            <wp:cNvGraphicFramePr>
              <a:graphicFrameLocks noChangeAspect="1"/>
            </wp:cNvGraphicFramePr>
            <a:graphic>
              <a:graphicData uri="http://schemas.openxmlformats.org/drawingml/2006/picture">
                <pic:pic>
                  <pic:nvPicPr>
                    <pic:cNvPr id="0" name="d1.png"/>
                    <pic:cNvPicPr/>
                  </pic:nvPicPr>
                  <pic:blipFill>
                    <a:blip r:embed="rId13"/>
                    <a:stretch>
                      <a:fillRect/>
                    </a:stretch>
                  </pic:blipFill>
                  <pic:spPr>
                    <a:xfrm>
                      <a:off x="0" y="0"/>
                      <a:ext cx="6188400" cy="2306893"/>
                    </a:xfrm>
                    <a:prstGeom prst="rect"/>
                  </pic:spPr>
                </pic:pic>
              </a:graphicData>
            </a:graphic>
          </wp:inline>
        </w:drawing>
      </w:r>
    </w:p>
    <w:p>
      <w:pPr>
        <w:pStyle w:val="Heading1"/>
      </w:pPr>
      <w:r>
        <w:rPr>
          <w:rFonts w:ascii="Calibri" w:hAnsi="Calibri" w:eastAsia="Calibri"/>
          <w:b/>
          <w:i w:val="0"/>
          <w:color w:val="173D4C"/>
          <w:sz w:val="30"/>
        </w:rPr>
        <w:t>Horas del año según categoría de calidad del aire</w:t>
      </w:r>
    </w:p>
    <w:p>
      <w:pPr>
        <w:spacing w:after="160"/>
        <w:jc w:val="both"/>
      </w:pPr>
      <w:r>
        <w:rPr>
          <w:rFonts w:ascii="Calibri" w:hAnsi="Calibri" w:eastAsia="Calibri"/>
          <w:b w:val="0"/>
          <w:i w:val="0"/>
          <w:color w:val="324D59"/>
          <w:sz w:val="22"/>
        </w:rPr>
        <w:t>Clasificación horaria por estación, según el Índice Aire y Salud dominante entre los seis contaminantes criterio (el contaminante que en cada hora presenta la categoría más desfavorable). Cada barra representa el porcentaje de horas del año que la estación registró en cada categoría; en gris se señalan las horas sin dato suficiente (D.I.), ya sea por falla de algún equipo o, en el caso de las estaciones incorporadas en 2024, por no contar todavía con un ciclo anual completo de operación. Más adelante el informe desglosa el comportamiento de cada contaminante por separado.</w:t>
      </w:r>
    </w:p>
    <w:p>
      <w:pPr>
        <w:spacing w:after="160"/>
        <w:jc w:val="both"/>
      </w:pPr>
      <w:r>
        <w:rPr>
          <w:rFonts w:ascii="Calibri" w:hAnsi="Calibri" w:eastAsia="Calibri"/>
          <w:b w:val="0"/>
          <w:i w:val="0"/>
          <w:color w:val="324D59"/>
          <w:sz w:val="22"/>
        </w:rPr>
        <w:t>La Figura 3 muestra, para cada una de las 13 estaciones de la red, el porcentaje de horas del año clasificadas en cada categoría del Índice Aire y Salud. Entre las estaciones con datos suficientes durante 2024, CEN registró la mayor proporción de horas en categoría Buena o Aceptable (87% del año), mientras que PIN presentó la mayor proporción de horas en categoría Mala o peor (48% del año). Las estaciones ATM, COU, OBL, SAN, SFE y SMT concentran una proporción alta de horas D.I., varias de ellas por haberse incorporado a la red a mediados de 2024. La última barra corresponde al AMG en conjunto, que en cada hora toma la categoría más desfavorable entre todas las estaciones: durante 2024, 40% de las horas fue Buena o Aceptable y 60% fue Mala o peor.</w:t>
      </w:r>
    </w:p>
    <w:p>
      <w:pPr>
        <w:keepNext/>
        <w:spacing w:before="160"/>
      </w:pPr>
      <w:r>
        <w:rPr>
          <w:rFonts w:ascii="Calibri" w:hAnsi="Calibri" w:eastAsia="Calibri"/>
          <w:b/>
          <w:i w:val="0"/>
          <w:color w:val="173D4C"/>
          <w:sz w:val="19"/>
        </w:rPr>
        <w:t>Figura 3. Horas del año según categoría del índice Aire y Salud, por estación.</w:t>
      </w:r>
    </w:p>
    <w:p>
      <w:pPr>
        <w:jc w:val="center"/>
      </w:pPr>
      <w:r>
        <w:drawing>
          <wp:inline xmlns:a="http://schemas.openxmlformats.org/drawingml/2006/main" xmlns:pic="http://schemas.openxmlformats.org/drawingml/2006/picture">
            <wp:extent cx="6188400" cy="4198669"/>
            <wp:docPr id="4" name="Picture 4"/>
            <wp:cNvGraphicFramePr>
              <a:graphicFrameLocks noChangeAspect="1"/>
            </wp:cNvGraphicFramePr>
            <a:graphic>
              <a:graphicData uri="http://schemas.openxmlformats.org/drawingml/2006/picture">
                <pic:pic>
                  <pic:nvPicPr>
                    <pic:cNvPr id="0" name="d2.png"/>
                    <pic:cNvPicPr/>
                  </pic:nvPicPr>
                  <pic:blipFill>
                    <a:blip r:embed="rId14"/>
                    <a:stretch>
                      <a:fillRect/>
                    </a:stretch>
                  </pic:blipFill>
                  <pic:spPr>
                    <a:xfrm>
                      <a:off x="0" y="0"/>
                      <a:ext cx="6188400" cy="4198669"/>
                    </a:xfrm>
                    <a:prstGeom prst="rect"/>
                  </pic:spPr>
                </pic:pic>
              </a:graphicData>
            </a:graphic>
          </wp:inline>
        </w:drawing>
      </w:r>
    </w:p>
    <w:p>
      <w:pPr>
        <w:jc w:val="center"/>
      </w:pPr>
      <w:r>
        <w:drawing>
          <wp:inline xmlns:a="http://schemas.openxmlformats.org/drawingml/2006/main" xmlns:pic="http://schemas.openxmlformats.org/drawingml/2006/picture">
            <wp:extent cx="5234216" cy="177718"/>
            <wp:docPr id="5" name="Picture 5"/>
            <wp:cNvGraphicFramePr>
              <a:graphicFrameLocks noChangeAspect="1"/>
            </wp:cNvGraphicFramePr>
            <a:graphic>
              <a:graphicData uri="http://schemas.openxmlformats.org/drawingml/2006/picture">
                <pic:pic>
                  <pic:nvPicPr>
                    <pic:cNvPr id="0" name="d3.png"/>
                    <pic:cNvPicPr/>
                  </pic:nvPicPr>
                  <pic:blipFill>
                    <a:blip r:embed="rId15"/>
                    <a:stretch>
                      <a:fillRect/>
                    </a:stretch>
                  </pic:blipFill>
                  <pic:spPr>
                    <a:xfrm>
                      <a:off x="0" y="0"/>
                      <a:ext cx="5234216" cy="177718"/>
                    </a:xfrm>
                    <a:prstGeom prst="rect"/>
                  </pic:spPr>
                </pic:pic>
              </a:graphicData>
            </a:graphic>
          </wp:inline>
        </w:drawing>
      </w:r>
    </w:p>
    <w:p>
      <w:pPr>
        <w:pStyle w:val="Heading1"/>
      </w:pPr>
      <w:r>
        <w:rPr>
          <w:rFonts w:ascii="Calibri" w:hAnsi="Calibri" w:eastAsia="Calibri"/>
          <w:b/>
          <w:i w:val="0"/>
          <w:color w:val="173D4C"/>
          <w:sz w:val="30"/>
        </w:rPr>
        <w:t>Días con calidad del aire Buena o Aceptable por estación</w:t>
      </w:r>
    </w:p>
    <w:p>
      <w:pPr>
        <w:spacing w:after="160"/>
        <w:jc w:val="both"/>
      </w:pPr>
      <w:r>
        <w:rPr>
          <w:rFonts w:ascii="Calibri" w:hAnsi="Calibri" w:eastAsia="Calibri"/>
          <w:b w:val="0"/>
          <w:i w:val="0"/>
          <w:color w:val="324D59"/>
          <w:sz w:val="22"/>
        </w:rPr>
        <w:t>Los mapas de la Figura 4 muestran, año por año, cuántos días tuvo cada estación de monitoreo con calidad del aire Buena o Aceptable según el Índice Aire y Salud (IAS). Cada burbuja está ubicada donde se encuentra la estación y su tamaño es proporcional a ese número de días: mientras más grande, más días con aire de buena o aceptable calidad. Un día se clasifica con la categoría del contaminante que resultó más desfavorable ese día. Así, los mapas permiten comparar tanto las zonas del AMG entre sí como la evolución de cada una de ellas entre 2019 y 2024, con la misma escala de tamaño en todos los años.</w:t>
      </w:r>
    </w:p>
    <w:p>
      <w:pPr>
        <w:spacing w:after="160"/>
        <w:jc w:val="both"/>
      </w:pPr>
      <w:r>
        <w:rPr>
          <w:rFonts w:ascii="Calibri" w:hAnsi="Calibri" w:eastAsia="Calibri"/>
          <w:b w:val="0"/>
          <w:i w:val="0"/>
          <w:color w:val="324D59"/>
          <w:sz w:val="22"/>
        </w:rPr>
        <w:t>Las burbujas con borde punteado corresponden a estaciones que no alcanzaron el 75% de días con dato en el año (por ejemplo, las que iniciaron operaciones o estuvieron fuera de servicio), por lo que su total no cubre el año completo y no es comparable con el de las demás. Los puntos grises indican estaciones sin datos en ese año.</w:t>
      </w:r>
    </w:p>
    <w:p>
      <w:pPr>
        <w:keepNext/>
        <w:spacing w:before="160"/>
      </w:pPr>
      <w:r>
        <w:rPr>
          <w:rFonts w:ascii="Calibri" w:hAnsi="Calibri" w:eastAsia="Calibri"/>
          <w:b/>
          <w:i w:val="0"/>
          <w:color w:val="173D4C"/>
          <w:sz w:val="19"/>
        </w:rPr>
        <w:t>Figura 4. Días con calidad del aire Buena o Aceptable por estación, 2019–2024.</w:t>
      </w:r>
    </w:p>
    <w:p>
      <w:pPr>
        <w:jc w:val="center"/>
      </w:pPr>
      <w:r>
        <w:drawing>
          <wp:inline xmlns:a="http://schemas.openxmlformats.org/drawingml/2006/main" xmlns:pic="http://schemas.openxmlformats.org/drawingml/2006/picture">
            <wp:extent cx="6188400" cy="4354644"/>
            <wp:docPr id="6" name="Picture 6"/>
            <wp:cNvGraphicFramePr>
              <a:graphicFrameLocks noChangeAspect="1"/>
            </wp:cNvGraphicFramePr>
            <a:graphic>
              <a:graphicData uri="http://schemas.openxmlformats.org/drawingml/2006/picture">
                <pic:pic>
                  <pic:nvPicPr>
                    <pic:cNvPr id="0" name="d4.png"/>
                    <pic:cNvPicPr/>
                  </pic:nvPicPr>
                  <pic:blipFill>
                    <a:blip r:embed="rId16"/>
                    <a:stretch>
                      <a:fillRect/>
                    </a:stretch>
                  </pic:blipFill>
                  <pic:spPr>
                    <a:xfrm>
                      <a:off x="0" y="0"/>
                      <a:ext cx="6188400" cy="4354644"/>
                    </a:xfrm>
                    <a:prstGeom prst="rect"/>
                  </pic:spPr>
                </pic:pic>
              </a:graphicData>
            </a:graphic>
          </wp:inline>
        </w:drawing>
      </w:r>
    </w:p>
    <w:p>
      <w:pPr>
        <w:jc w:val="center"/>
      </w:pPr>
      <w:r>
        <w:drawing>
          <wp:inline xmlns:a="http://schemas.openxmlformats.org/drawingml/2006/main" xmlns:pic="http://schemas.openxmlformats.org/drawingml/2006/picture">
            <wp:extent cx="6188400" cy="330161"/>
            <wp:docPr id="7" name="Picture 7"/>
            <wp:cNvGraphicFramePr>
              <a:graphicFrameLocks noChangeAspect="1"/>
            </wp:cNvGraphicFramePr>
            <a:graphic>
              <a:graphicData uri="http://schemas.openxmlformats.org/drawingml/2006/picture">
                <pic:pic>
                  <pic:nvPicPr>
                    <pic:cNvPr id="0" name="d5.png"/>
                    <pic:cNvPicPr/>
                  </pic:nvPicPr>
                  <pic:blipFill>
                    <a:blip r:embed="rId17"/>
                    <a:stretch>
                      <a:fillRect/>
                    </a:stretch>
                  </pic:blipFill>
                  <pic:spPr>
                    <a:xfrm>
                      <a:off x="0" y="0"/>
                      <a:ext cx="6188400" cy="330161"/>
                    </a:xfrm>
                    <a:prstGeom prst="rect"/>
                  </pic:spPr>
                </pic:pic>
              </a:graphicData>
            </a:graphic>
          </wp:inline>
        </w:drawing>
      </w:r>
    </w:p>
    <w:p>
      <w:pPr>
        <w:spacing w:after="160"/>
        <w:jc w:val="both"/>
      </w:pPr>
      <w:r>
        <w:rPr>
          <w:rFonts w:ascii="Calibri" w:hAnsi="Calibri" w:eastAsia="Calibri"/>
          <w:b w:val="0"/>
          <w:i w:val="0"/>
          <w:color w:val="324D59"/>
          <w:sz w:val="22"/>
        </w:rPr>
        <w:t>En 2024, entre las estaciones con datos suficientes, las que acumularon más días con calidad Buena o Aceptable fueron Centro (CEN; 242 días), Tlaquepaque (TLA; 239 días) y Águilas (AGU; 238 días), mientras que Pintas (PIN) registró el menor número (121 días). Por su parte, Atemajac (ATM), Oblatos (OBL) y Santa Fe (SFE) presentan datos parciales, pues no alcanzaron el 75% de días con dato del año, por lo que sus cifras no son comparables con las de las demás. A ellas se suman Country (COU), Santa Anita (SAN) y Santa Margarita (SMT), que se incorporaron a la red en septiembre de 2024 y, por lo tanto, tampoco alcanzaron a acumular un año completo de operación.</w:t>
      </w:r>
    </w:p>
    <w:p>
      <w:r>
        <w:br w:type="page"/>
      </w:r>
    </w:p>
    <w:p>
      <w:pPr>
        <w:pStyle w:val="Heading1"/>
      </w:pPr>
      <w:r>
        <w:rPr>
          <w:rFonts w:ascii="Calibri" w:hAnsi="Calibri" w:eastAsia="Calibri"/>
          <w:b/>
          <w:i w:val="0"/>
          <w:color w:val="173D4C"/>
          <w:sz w:val="30"/>
        </w:rPr>
        <w:t>Cumplimiento de las NOM de salud de calidad del aire, 2024</w:t>
      </w:r>
    </w:p>
    <w:p>
      <w:pPr>
        <w:spacing w:after="160"/>
        <w:jc w:val="both"/>
      </w:pPr>
      <w:r>
        <w:rPr>
          <w:rFonts w:ascii="Calibri" w:hAnsi="Calibri" w:eastAsia="Calibri"/>
          <w:b w:val="0"/>
          <w:i w:val="0"/>
          <w:color w:val="324D59"/>
          <w:sz w:val="22"/>
        </w:rPr>
        <w:t>Para cada estación de la red se compara el valor estadístico correspondiente (percentil 99, promedio o máximo, según lo que establece cada Norma Oficial Mexicana) contra el límite vigente para 2024. Cuando una estación no alcanza el 75% de días válidos en el año, el resultado se reporta como dato insuficiente (D.I.).</w:t>
      </w:r>
    </w:p>
    <w:p>
      <w:pPr>
        <w:keepNext/>
        <w:spacing w:before="160"/>
      </w:pPr>
      <w:r>
        <w:rPr>
          <w:rFonts w:ascii="Calibri" w:hAnsi="Calibri" w:eastAsia="Calibri"/>
          <w:b/>
          <w:i w:val="0"/>
          <w:color w:val="173D4C"/>
          <w:sz w:val="19"/>
        </w:rPr>
        <w:t>Tabla 5. Cumplimiento de las NOM de calidad del aire, por estación.</w:t>
      </w:r>
    </w:p>
    <w:tbl>
      <w:tblPr>
        <w:tblW w:type="auto" w:w="0"/>
        <w:jc w:val="center"/>
        <w:tblLayout w:type="fixed"/>
        <w:tblLook w:firstColumn="1" w:firstRow="1" w:lastColumn="0" w:lastRow="0" w:noHBand="0" w:noVBand="1" w:val="04A0"/>
        <w:tblBorders>
          <w:top w:val="single" w:sz="4" w:space="0" w:color="D7DEE1"/>
          <w:left w:val="single" w:sz="4" w:space="0" w:color="D7DEE1"/>
          <w:bottom w:val="single" w:sz="4" w:space="0" w:color="D7DEE1"/>
          <w:right w:val="single" w:sz="4" w:space="0" w:color="D7DEE1"/>
          <w:insideH w:val="single" w:sz="4" w:space="0" w:color="D7DEE1"/>
          <w:insideV w:val="single" w:sz="4" w:space="0" w:color="D7DEE1"/>
        </w:tblBorders>
      </w:tblPr>
      <w:tblGrid>
        <w:gridCol w:w="696"/>
        <w:gridCol w:w="696"/>
        <w:gridCol w:w="696"/>
        <w:gridCol w:w="696"/>
        <w:gridCol w:w="696"/>
        <w:gridCol w:w="696"/>
        <w:gridCol w:w="696"/>
        <w:gridCol w:w="696"/>
        <w:gridCol w:w="696"/>
        <w:gridCol w:w="696"/>
        <w:gridCol w:w="696"/>
        <w:gridCol w:w="696"/>
        <w:gridCol w:w="696"/>
        <w:gridCol w:w="696"/>
      </w:tblGrid>
      <w:tr>
        <w:trPr>
          <w:tblHeader/>
          <w:cantSplit/>
        </w:trPr>
        <w:tc>
          <w:tcPr>
            <w:tcW w:type="dxa" w:w="1803"/>
            <w:vMerge w:val="restart"/>
            <w:shd w:val="clear" w:color="auto" w:fill="173D4C"/>
          </w:tcPr>
          <w:p>
            <w:pPr>
              <w:keepNext/>
              <w:spacing w:after="0"/>
              <w:jc w:val="center"/>
            </w:pPr>
            <w:r>
              <w:rPr>
                <w:rFonts w:ascii="Calibri" w:hAnsi="Calibri" w:eastAsia="Calibri"/>
                <w:b/>
                <w:i w:val="0"/>
                <w:color w:val="FFFFFF"/>
                <w:sz w:val="13"/>
              </w:rPr>
              <w:t>Parámetro · Periodo</w:t>
            </w:r>
          </w:p>
        </w:tc>
        <w:tc>
          <w:tcPr>
            <w:tcW w:type="dxa" w:w="611"/>
            <w:shd w:val="clear" w:color="auto" w:fill="173D4C"/>
          </w:tcPr>
          <w:p>
            <w:pPr>
              <w:keepNext/>
              <w:spacing w:after="0"/>
              <w:jc w:val="center"/>
            </w:pPr>
            <w:r>
              <w:rPr>
                <w:rFonts w:ascii="Calibri" w:hAnsi="Calibri" w:eastAsia="Calibri"/>
                <w:b/>
                <w:i w:val="0"/>
                <w:color w:val="FFFFFF"/>
                <w:sz w:val="13"/>
              </w:rPr>
              <w:t>Tlaque-</w:t>
            </w:r>
            <w:r>
              <w:br/>
            </w:r>
            <w:r>
              <w:rPr>
                <w:rFonts w:ascii="Calibri" w:hAnsi="Calibri" w:eastAsia="Calibri"/>
                <w:b/>
                <w:i w:val="0"/>
                <w:color w:val="FFFFFF"/>
                <w:sz w:val="13"/>
              </w:rPr>
              <w:t>paque</w:t>
            </w:r>
          </w:p>
        </w:tc>
        <w:tc>
          <w:tcPr>
            <w:tcW w:type="dxa" w:w="611"/>
            <w:shd w:val="clear" w:color="auto" w:fill="173D4C"/>
          </w:tcPr>
          <w:p>
            <w:pPr>
              <w:keepNext/>
              <w:spacing w:after="0"/>
              <w:jc w:val="center"/>
            </w:pPr>
            <w:r>
              <w:rPr>
                <w:rFonts w:ascii="Calibri" w:hAnsi="Calibri" w:eastAsia="Calibri"/>
                <w:b/>
                <w:i w:val="0"/>
                <w:color w:val="FFFFFF"/>
                <w:sz w:val="13"/>
              </w:rPr>
              <w:t>El Salto</w:t>
            </w:r>
          </w:p>
        </w:tc>
        <w:tc>
          <w:tcPr>
            <w:tcW w:type="dxa" w:w="2444"/>
            <w:gridSpan w:val="4"/>
            <w:shd w:val="clear" w:color="auto" w:fill="173D4C"/>
          </w:tcPr>
          <w:p>
            <w:pPr>
              <w:keepNext/>
              <w:spacing w:after="0"/>
              <w:jc w:val="center"/>
            </w:pPr>
            <w:r>
              <w:rPr>
                <w:rFonts w:ascii="Calibri" w:hAnsi="Calibri" w:eastAsia="Calibri"/>
                <w:b/>
                <w:i w:val="0"/>
                <w:color w:val="FFFFFF"/>
                <w:sz w:val="13"/>
              </w:rPr>
              <w:t>Guadalajara</w:t>
            </w:r>
          </w:p>
        </w:tc>
        <w:tc>
          <w:tcPr>
            <w:tcW w:type="dxa" w:w="1222"/>
            <w:gridSpan w:val="2"/>
            <w:shd w:val="clear" w:color="auto" w:fill="173D4C"/>
          </w:tcPr>
          <w:p>
            <w:pPr>
              <w:keepNext/>
              <w:spacing w:after="0"/>
              <w:jc w:val="center"/>
            </w:pPr>
            <w:r>
              <w:rPr>
                <w:rFonts w:ascii="Calibri" w:hAnsi="Calibri" w:eastAsia="Calibri"/>
                <w:b/>
                <w:i w:val="0"/>
                <w:color w:val="FFFFFF"/>
                <w:sz w:val="13"/>
              </w:rPr>
              <w:t>Tlajomulco de Zúñiga</w:t>
            </w:r>
          </w:p>
        </w:tc>
        <w:tc>
          <w:tcPr>
            <w:tcW w:type="dxa" w:w="611"/>
            <w:shd w:val="clear" w:color="auto" w:fill="173D4C"/>
          </w:tcPr>
          <w:p>
            <w:pPr>
              <w:keepNext/>
              <w:spacing w:after="0"/>
              <w:jc w:val="center"/>
            </w:pPr>
            <w:r>
              <w:rPr>
                <w:rFonts w:ascii="Calibri" w:hAnsi="Calibri" w:eastAsia="Calibri"/>
                <w:b/>
                <w:i w:val="0"/>
                <w:color w:val="FFFFFF"/>
                <w:sz w:val="13"/>
              </w:rPr>
              <w:t>Tonalá</w:t>
            </w:r>
          </w:p>
        </w:tc>
        <w:tc>
          <w:tcPr>
            <w:tcW w:type="dxa" w:w="2444"/>
            <w:gridSpan w:val="4"/>
            <w:shd w:val="clear" w:color="auto" w:fill="173D4C"/>
          </w:tcPr>
          <w:p>
            <w:pPr>
              <w:keepNext/>
              <w:spacing w:after="0"/>
              <w:jc w:val="center"/>
            </w:pPr>
            <w:r>
              <w:rPr>
                <w:rFonts w:ascii="Calibri" w:hAnsi="Calibri" w:eastAsia="Calibri"/>
                <w:b/>
                <w:i w:val="0"/>
                <w:color w:val="FFFFFF"/>
                <w:sz w:val="13"/>
              </w:rPr>
              <w:t>Zapopan</w:t>
            </w:r>
          </w:p>
        </w:tc>
      </w:tr>
      <w:tr>
        <w:trPr>
          <w:tblHeader/>
          <w:cantSplit/>
        </w:trPr>
        <w:tc>
          <w:tcPr>
            <w:tcW w:type="dxa" w:w="1803"/>
            <w:vMerge/>
            <w:shd w:val="clear" w:color="auto" w:fill="173D4C"/>
          </w:tcPr>
          <w:p>
            <w:pPr>
              <w:keepNext/>
              <w:spacing w:after="0"/>
            </w:pPr>
          </w:p>
        </w:tc>
        <w:tc>
          <w:tcPr>
            <w:tcW w:type="dxa" w:w="611"/>
            <w:shd w:val="clear" w:color="auto" w:fill="173D4C"/>
          </w:tcPr>
          <w:p>
            <w:pPr>
              <w:keepNext/>
              <w:spacing w:after="0"/>
              <w:jc w:val="center"/>
            </w:pPr>
            <w:r>
              <w:rPr>
                <w:rFonts w:ascii="Calibri" w:hAnsi="Calibri" w:eastAsia="Calibri"/>
                <w:b/>
                <w:i w:val="0"/>
                <w:color w:val="FFFFFF"/>
                <w:sz w:val="13"/>
              </w:rPr>
              <w:t>TLA</w:t>
            </w:r>
          </w:p>
        </w:tc>
        <w:tc>
          <w:tcPr>
            <w:tcW w:type="dxa" w:w="611"/>
            <w:shd w:val="clear" w:color="auto" w:fill="173D4C"/>
          </w:tcPr>
          <w:p>
            <w:pPr>
              <w:keepNext/>
              <w:spacing w:after="0"/>
              <w:jc w:val="center"/>
            </w:pPr>
            <w:r>
              <w:rPr>
                <w:rFonts w:ascii="Calibri" w:hAnsi="Calibri" w:eastAsia="Calibri"/>
                <w:b/>
                <w:i w:val="0"/>
                <w:color w:val="FFFFFF"/>
                <w:sz w:val="13"/>
              </w:rPr>
              <w:t>PIN</w:t>
            </w:r>
          </w:p>
        </w:tc>
        <w:tc>
          <w:tcPr>
            <w:tcW w:type="dxa" w:w="611"/>
            <w:shd w:val="clear" w:color="auto" w:fill="173D4C"/>
          </w:tcPr>
          <w:p>
            <w:pPr>
              <w:keepNext/>
              <w:spacing w:after="0"/>
              <w:jc w:val="center"/>
            </w:pPr>
            <w:r>
              <w:rPr>
                <w:rFonts w:ascii="Calibri" w:hAnsi="Calibri" w:eastAsia="Calibri"/>
                <w:b/>
                <w:i w:val="0"/>
                <w:color w:val="FFFFFF"/>
                <w:sz w:val="13"/>
              </w:rPr>
              <w:t>CEN</w:t>
            </w:r>
          </w:p>
        </w:tc>
        <w:tc>
          <w:tcPr>
            <w:tcW w:type="dxa" w:w="611"/>
            <w:shd w:val="clear" w:color="auto" w:fill="173D4C"/>
          </w:tcPr>
          <w:p>
            <w:pPr>
              <w:keepNext/>
              <w:spacing w:after="0"/>
              <w:jc w:val="center"/>
            </w:pPr>
            <w:r>
              <w:rPr>
                <w:rFonts w:ascii="Calibri" w:hAnsi="Calibri" w:eastAsia="Calibri"/>
                <w:b/>
                <w:i w:val="0"/>
                <w:color w:val="FFFFFF"/>
                <w:sz w:val="13"/>
              </w:rPr>
              <w:t>COU</w:t>
            </w:r>
          </w:p>
        </w:tc>
        <w:tc>
          <w:tcPr>
            <w:tcW w:type="dxa" w:w="611"/>
            <w:shd w:val="clear" w:color="auto" w:fill="173D4C"/>
          </w:tcPr>
          <w:p>
            <w:pPr>
              <w:keepNext/>
              <w:spacing w:after="0"/>
              <w:jc w:val="center"/>
            </w:pPr>
            <w:r>
              <w:rPr>
                <w:rFonts w:ascii="Calibri" w:hAnsi="Calibri" w:eastAsia="Calibri"/>
                <w:b/>
                <w:i w:val="0"/>
                <w:color w:val="FFFFFF"/>
                <w:sz w:val="13"/>
              </w:rPr>
              <w:t>MIR</w:t>
            </w:r>
          </w:p>
        </w:tc>
        <w:tc>
          <w:tcPr>
            <w:tcW w:type="dxa" w:w="611"/>
            <w:shd w:val="clear" w:color="auto" w:fill="173D4C"/>
          </w:tcPr>
          <w:p>
            <w:pPr>
              <w:keepNext/>
              <w:spacing w:after="0"/>
              <w:jc w:val="center"/>
            </w:pPr>
            <w:r>
              <w:rPr>
                <w:rFonts w:ascii="Calibri" w:hAnsi="Calibri" w:eastAsia="Calibri"/>
                <w:b/>
                <w:i w:val="0"/>
                <w:color w:val="FFFFFF"/>
                <w:sz w:val="13"/>
              </w:rPr>
              <w:t>OBL</w:t>
            </w:r>
          </w:p>
        </w:tc>
        <w:tc>
          <w:tcPr>
            <w:tcW w:type="dxa" w:w="611"/>
            <w:shd w:val="clear" w:color="auto" w:fill="173D4C"/>
          </w:tcPr>
          <w:p>
            <w:pPr>
              <w:keepNext/>
              <w:spacing w:after="0"/>
              <w:jc w:val="center"/>
            </w:pPr>
            <w:r>
              <w:rPr>
                <w:rFonts w:ascii="Calibri" w:hAnsi="Calibri" w:eastAsia="Calibri"/>
                <w:b/>
                <w:i w:val="0"/>
                <w:color w:val="FFFFFF"/>
                <w:sz w:val="13"/>
              </w:rPr>
              <w:t>SAN</w:t>
            </w:r>
          </w:p>
        </w:tc>
        <w:tc>
          <w:tcPr>
            <w:tcW w:type="dxa" w:w="611"/>
            <w:shd w:val="clear" w:color="auto" w:fill="173D4C"/>
          </w:tcPr>
          <w:p>
            <w:pPr>
              <w:keepNext/>
              <w:spacing w:after="0"/>
              <w:jc w:val="center"/>
            </w:pPr>
            <w:r>
              <w:rPr>
                <w:rFonts w:ascii="Calibri" w:hAnsi="Calibri" w:eastAsia="Calibri"/>
                <w:b/>
                <w:i w:val="0"/>
                <w:color w:val="FFFFFF"/>
                <w:sz w:val="13"/>
              </w:rPr>
              <w:t>SFE</w:t>
            </w:r>
          </w:p>
        </w:tc>
        <w:tc>
          <w:tcPr>
            <w:tcW w:type="dxa" w:w="611"/>
            <w:shd w:val="clear" w:color="auto" w:fill="173D4C"/>
          </w:tcPr>
          <w:p>
            <w:pPr>
              <w:keepNext/>
              <w:spacing w:after="0"/>
              <w:jc w:val="center"/>
            </w:pPr>
            <w:r>
              <w:rPr>
                <w:rFonts w:ascii="Calibri" w:hAnsi="Calibri" w:eastAsia="Calibri"/>
                <w:b/>
                <w:i w:val="0"/>
                <w:color w:val="FFFFFF"/>
                <w:sz w:val="13"/>
              </w:rPr>
              <w:t>LDO</w:t>
            </w:r>
          </w:p>
        </w:tc>
        <w:tc>
          <w:tcPr>
            <w:tcW w:type="dxa" w:w="611"/>
            <w:shd w:val="clear" w:color="auto" w:fill="173D4C"/>
          </w:tcPr>
          <w:p>
            <w:pPr>
              <w:keepNext/>
              <w:spacing w:after="0"/>
              <w:jc w:val="center"/>
            </w:pPr>
            <w:r>
              <w:rPr>
                <w:rFonts w:ascii="Calibri" w:hAnsi="Calibri" w:eastAsia="Calibri"/>
                <w:b/>
                <w:i w:val="0"/>
                <w:color w:val="FFFFFF"/>
                <w:sz w:val="13"/>
              </w:rPr>
              <w:t>AGU</w:t>
            </w:r>
          </w:p>
        </w:tc>
        <w:tc>
          <w:tcPr>
            <w:tcW w:type="dxa" w:w="611"/>
            <w:shd w:val="clear" w:color="auto" w:fill="173D4C"/>
          </w:tcPr>
          <w:p>
            <w:pPr>
              <w:keepNext/>
              <w:spacing w:after="0"/>
              <w:jc w:val="center"/>
            </w:pPr>
            <w:r>
              <w:rPr>
                <w:rFonts w:ascii="Calibri" w:hAnsi="Calibri" w:eastAsia="Calibri"/>
                <w:b/>
                <w:i w:val="0"/>
                <w:color w:val="FFFFFF"/>
                <w:sz w:val="13"/>
              </w:rPr>
              <w:t>ATM</w:t>
            </w:r>
          </w:p>
        </w:tc>
        <w:tc>
          <w:tcPr>
            <w:tcW w:type="dxa" w:w="611"/>
            <w:shd w:val="clear" w:color="auto" w:fill="173D4C"/>
          </w:tcPr>
          <w:p>
            <w:pPr>
              <w:keepNext/>
              <w:spacing w:after="0"/>
              <w:jc w:val="center"/>
            </w:pPr>
            <w:r>
              <w:rPr>
                <w:rFonts w:ascii="Calibri" w:hAnsi="Calibri" w:eastAsia="Calibri"/>
                <w:b/>
                <w:i w:val="0"/>
                <w:color w:val="FFFFFF"/>
                <w:sz w:val="13"/>
              </w:rPr>
              <w:t>SMT</w:t>
            </w:r>
          </w:p>
        </w:tc>
        <w:tc>
          <w:tcPr>
            <w:tcW w:type="dxa" w:w="611"/>
            <w:shd w:val="clear" w:color="auto" w:fill="173D4C"/>
          </w:tcPr>
          <w:p>
            <w:pPr>
              <w:keepNext/>
              <w:spacing w:after="0"/>
              <w:jc w:val="center"/>
            </w:pPr>
            <w:r>
              <w:rPr>
                <w:rFonts w:ascii="Calibri" w:hAnsi="Calibri" w:eastAsia="Calibri"/>
                <w:b/>
                <w:i w:val="0"/>
                <w:color w:val="FFFFFF"/>
                <w:sz w:val="13"/>
              </w:rPr>
              <w:t>VAL</w:t>
            </w:r>
          </w:p>
        </w:tc>
      </w:tr>
      <w:tr>
        <w:tc>
          <w:tcPr>
            <w:tcW w:type="dxa" w:w="1803"/>
          </w:tcPr>
          <w:p>
            <w:pPr>
              <w:spacing w:after="0"/>
            </w:pPr>
            <w:r>
              <w:rPr>
                <w:rFonts w:ascii="Calibri" w:hAnsi="Calibri" w:eastAsia="Calibri"/>
                <w:b/>
                <w:i w:val="0"/>
                <w:color w:val="173D4C"/>
                <w:sz w:val="13"/>
              </w:rPr>
              <w:t>PM</w:t>
            </w:r>
            <w:r>
              <w:rPr>
                <w:rFonts w:ascii="Calibri" w:hAnsi="Calibri" w:eastAsia="Calibri"/>
                <w:b/>
                <w:i w:val="0"/>
                <w:color w:val="173D4C"/>
                <w:sz w:val="13"/>
                <w:vertAlign w:val="subscript"/>
              </w:rPr>
              <w:t>10</w:t>
            </w:r>
            <w:r>
              <w:rPr>
                <w:rFonts w:ascii="Calibri" w:hAnsi="Calibri" w:eastAsia="Calibri"/>
                <w:b/>
                <w:i w:val="0"/>
                <w:color w:val="173D4C"/>
                <w:sz w:val="13"/>
              </w:rPr>
              <w:t xml:space="preserve"> · 24 horas</w:t>
            </w:r>
            <w:r>
              <w:br/>
            </w:r>
            <w:r>
              <w:rPr>
                <w:rFonts w:ascii="Calibri" w:hAnsi="Calibri" w:eastAsia="Calibri"/>
                <w:b/>
                <w:i w:val="0"/>
                <w:color w:val="6C8894"/>
                <w:sz w:val="13"/>
              </w:rPr>
              <w:t>Percentil 99 ≤ 60 µg/m³</w:t>
            </w:r>
          </w:p>
        </w:tc>
        <w:tc>
          <w:tcPr>
            <w:tcW w:type="dxa" w:w="611"/>
            <w:shd w:val="clear" w:color="auto" w:fill="D0453F"/>
          </w:tcPr>
          <w:p>
            <w:pPr>
              <w:spacing w:after="0"/>
              <w:jc w:val="center"/>
            </w:pPr>
            <w:r>
              <w:rPr>
                <w:rFonts w:ascii="Calibri" w:hAnsi="Calibri" w:eastAsia="Calibri"/>
                <w:b/>
                <w:i w:val="0"/>
                <w:color w:val="FFFFFF"/>
                <w:sz w:val="13"/>
              </w:rPr>
              <w:t>86</w:t>
            </w:r>
          </w:p>
        </w:tc>
        <w:tc>
          <w:tcPr>
            <w:tcW w:type="dxa" w:w="611"/>
            <w:shd w:val="clear" w:color="auto" w:fill="D0453F"/>
          </w:tcPr>
          <w:p>
            <w:pPr>
              <w:spacing w:after="0"/>
              <w:jc w:val="center"/>
            </w:pPr>
            <w:r>
              <w:rPr>
                <w:rFonts w:ascii="Calibri" w:hAnsi="Calibri" w:eastAsia="Calibri"/>
                <w:b/>
                <w:i w:val="0"/>
                <w:color w:val="FFFFFF"/>
                <w:sz w:val="13"/>
              </w:rPr>
              <w:t>232</w:t>
            </w:r>
          </w:p>
        </w:tc>
        <w:tc>
          <w:tcPr>
            <w:tcW w:type="dxa" w:w="611"/>
            <w:shd w:val="clear" w:color="auto" w:fill="D0453F"/>
          </w:tcPr>
          <w:p>
            <w:pPr>
              <w:spacing w:after="0"/>
              <w:jc w:val="center"/>
            </w:pPr>
            <w:r>
              <w:rPr>
                <w:rFonts w:ascii="Calibri" w:hAnsi="Calibri" w:eastAsia="Calibri"/>
                <w:b/>
                <w:i w:val="0"/>
                <w:color w:val="FFFFFF"/>
                <w:sz w:val="13"/>
              </w:rPr>
              <w:t>104</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D0453F"/>
          </w:tcPr>
          <w:p>
            <w:pPr>
              <w:spacing w:after="0"/>
              <w:jc w:val="center"/>
            </w:pPr>
            <w:r>
              <w:rPr>
                <w:rFonts w:ascii="Calibri" w:hAnsi="Calibri" w:eastAsia="Calibri"/>
                <w:b/>
                <w:i w:val="0"/>
                <w:color w:val="FFFFFF"/>
                <w:sz w:val="13"/>
              </w:rPr>
              <w:t>157</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D0453F"/>
          </w:tcPr>
          <w:p>
            <w:pPr>
              <w:spacing w:after="0"/>
              <w:jc w:val="center"/>
            </w:pPr>
            <w:r>
              <w:rPr>
                <w:rFonts w:ascii="Calibri" w:hAnsi="Calibri" w:eastAsia="Calibri"/>
                <w:b/>
                <w:i w:val="0"/>
                <w:color w:val="FFFFFF"/>
                <w:sz w:val="13"/>
              </w:rPr>
              <w:t>92</w:t>
            </w:r>
          </w:p>
        </w:tc>
        <w:tc>
          <w:tcPr>
            <w:tcW w:type="dxa" w:w="611"/>
            <w:shd w:val="clear" w:color="auto" w:fill="D0453F"/>
          </w:tcPr>
          <w:p>
            <w:pPr>
              <w:spacing w:after="0"/>
              <w:jc w:val="center"/>
            </w:pPr>
            <w:r>
              <w:rPr>
                <w:rFonts w:ascii="Calibri" w:hAnsi="Calibri" w:eastAsia="Calibri"/>
                <w:b/>
                <w:i w:val="0"/>
                <w:color w:val="FFFFFF"/>
                <w:sz w:val="13"/>
              </w:rPr>
              <w:t>82</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D0453F"/>
          </w:tcPr>
          <w:p>
            <w:pPr>
              <w:spacing w:after="0"/>
              <w:jc w:val="center"/>
            </w:pPr>
            <w:r>
              <w:rPr>
                <w:rFonts w:ascii="Calibri" w:hAnsi="Calibri" w:eastAsia="Calibri"/>
                <w:b/>
                <w:i w:val="0"/>
                <w:color w:val="FFFFFF"/>
                <w:sz w:val="13"/>
              </w:rPr>
              <w:t>70</w:t>
            </w:r>
          </w:p>
        </w:tc>
      </w:tr>
      <w:tr>
        <w:tc>
          <w:tcPr>
            <w:tcW w:type="dxa" w:w="1803"/>
          </w:tcPr>
          <w:p>
            <w:pPr>
              <w:spacing w:after="0"/>
            </w:pPr>
            <w:r>
              <w:rPr>
                <w:rFonts w:ascii="Calibri" w:hAnsi="Calibri" w:eastAsia="Calibri"/>
                <w:b/>
                <w:i w:val="0"/>
                <w:color w:val="173D4C"/>
                <w:sz w:val="13"/>
              </w:rPr>
              <w:t>PM</w:t>
            </w:r>
            <w:r>
              <w:rPr>
                <w:rFonts w:ascii="Calibri" w:hAnsi="Calibri" w:eastAsia="Calibri"/>
                <w:b/>
                <w:i w:val="0"/>
                <w:color w:val="173D4C"/>
                <w:sz w:val="13"/>
                <w:vertAlign w:val="subscript"/>
              </w:rPr>
              <w:t>10</w:t>
            </w:r>
            <w:r>
              <w:rPr>
                <w:rFonts w:ascii="Calibri" w:hAnsi="Calibri" w:eastAsia="Calibri"/>
                <w:b/>
                <w:i w:val="0"/>
                <w:color w:val="173D4C"/>
                <w:sz w:val="13"/>
              </w:rPr>
              <w:t xml:space="preserve"> · Anual</w:t>
            </w:r>
            <w:r>
              <w:br/>
            </w:r>
            <w:r>
              <w:rPr>
                <w:rFonts w:ascii="Calibri" w:hAnsi="Calibri" w:eastAsia="Calibri"/>
                <w:b/>
                <w:i w:val="0"/>
                <w:color w:val="6C8894"/>
                <w:sz w:val="13"/>
              </w:rPr>
              <w:t>Promedio ≤ 28 µg/m³</w:t>
            </w:r>
          </w:p>
        </w:tc>
        <w:tc>
          <w:tcPr>
            <w:tcW w:type="dxa" w:w="611"/>
            <w:shd w:val="clear" w:color="auto" w:fill="D0453F"/>
          </w:tcPr>
          <w:p>
            <w:pPr>
              <w:spacing w:after="0"/>
              <w:jc w:val="center"/>
            </w:pPr>
            <w:r>
              <w:rPr>
                <w:rFonts w:ascii="Calibri" w:hAnsi="Calibri" w:eastAsia="Calibri"/>
                <w:b/>
                <w:i w:val="0"/>
                <w:color w:val="FFFFFF"/>
                <w:sz w:val="13"/>
              </w:rPr>
              <w:t>39</w:t>
            </w:r>
          </w:p>
        </w:tc>
        <w:tc>
          <w:tcPr>
            <w:tcW w:type="dxa" w:w="611"/>
            <w:shd w:val="clear" w:color="auto" w:fill="D0453F"/>
          </w:tcPr>
          <w:p>
            <w:pPr>
              <w:spacing w:after="0"/>
              <w:jc w:val="center"/>
            </w:pPr>
            <w:r>
              <w:rPr>
                <w:rFonts w:ascii="Calibri" w:hAnsi="Calibri" w:eastAsia="Calibri"/>
                <w:b/>
                <w:i w:val="0"/>
                <w:color w:val="FFFFFF"/>
                <w:sz w:val="13"/>
              </w:rPr>
              <w:t>78</w:t>
            </w:r>
          </w:p>
        </w:tc>
        <w:tc>
          <w:tcPr>
            <w:tcW w:type="dxa" w:w="611"/>
            <w:shd w:val="clear" w:color="auto" w:fill="D0453F"/>
          </w:tcPr>
          <w:p>
            <w:pPr>
              <w:spacing w:after="0"/>
              <w:jc w:val="center"/>
            </w:pPr>
            <w:r>
              <w:rPr>
                <w:rFonts w:ascii="Calibri" w:hAnsi="Calibri" w:eastAsia="Calibri"/>
                <w:b/>
                <w:i w:val="0"/>
                <w:color w:val="FFFFFF"/>
                <w:sz w:val="13"/>
              </w:rPr>
              <w:t>40</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D0453F"/>
          </w:tcPr>
          <w:p>
            <w:pPr>
              <w:spacing w:after="0"/>
              <w:jc w:val="center"/>
            </w:pPr>
            <w:r>
              <w:rPr>
                <w:rFonts w:ascii="Calibri" w:hAnsi="Calibri" w:eastAsia="Calibri"/>
                <w:b/>
                <w:i w:val="0"/>
                <w:color w:val="FFFFFF"/>
                <w:sz w:val="13"/>
              </w:rPr>
              <w:t>59</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D0453F"/>
          </w:tcPr>
          <w:p>
            <w:pPr>
              <w:spacing w:after="0"/>
              <w:jc w:val="center"/>
            </w:pPr>
            <w:r>
              <w:rPr>
                <w:rFonts w:ascii="Calibri" w:hAnsi="Calibri" w:eastAsia="Calibri"/>
                <w:b/>
                <w:i w:val="0"/>
                <w:color w:val="FFFFFF"/>
                <w:sz w:val="13"/>
              </w:rPr>
              <w:t>44</w:t>
            </w:r>
          </w:p>
        </w:tc>
        <w:tc>
          <w:tcPr>
            <w:tcW w:type="dxa" w:w="611"/>
            <w:shd w:val="clear" w:color="auto" w:fill="D0453F"/>
          </w:tcPr>
          <w:p>
            <w:pPr>
              <w:spacing w:after="0"/>
              <w:jc w:val="center"/>
            </w:pPr>
            <w:r>
              <w:rPr>
                <w:rFonts w:ascii="Calibri" w:hAnsi="Calibri" w:eastAsia="Calibri"/>
                <w:b/>
                <w:i w:val="0"/>
                <w:color w:val="FFFFFF"/>
                <w:sz w:val="13"/>
              </w:rPr>
              <w:t>39</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D0453F"/>
          </w:tcPr>
          <w:p>
            <w:pPr>
              <w:spacing w:after="0"/>
              <w:jc w:val="center"/>
            </w:pPr>
            <w:r>
              <w:rPr>
                <w:rFonts w:ascii="Calibri" w:hAnsi="Calibri" w:eastAsia="Calibri"/>
                <w:b/>
                <w:i w:val="0"/>
                <w:color w:val="FFFFFF"/>
                <w:sz w:val="13"/>
              </w:rPr>
              <w:t>34</w:t>
            </w:r>
          </w:p>
        </w:tc>
      </w:tr>
      <w:tr>
        <w:tc>
          <w:tcPr>
            <w:tcW w:type="dxa" w:w="1803"/>
          </w:tcPr>
          <w:p>
            <w:pPr>
              <w:spacing w:after="0"/>
            </w:pPr>
            <w:r>
              <w:rPr>
                <w:rFonts w:ascii="Calibri" w:hAnsi="Calibri" w:eastAsia="Calibri"/>
                <w:b/>
                <w:i w:val="0"/>
                <w:color w:val="173D4C"/>
                <w:sz w:val="13"/>
              </w:rPr>
              <w:t>PM</w:t>
            </w:r>
            <w:r>
              <w:rPr>
                <w:rFonts w:ascii="Calibri" w:hAnsi="Calibri" w:eastAsia="Calibri"/>
                <w:b/>
                <w:i w:val="0"/>
                <w:color w:val="173D4C"/>
                <w:sz w:val="13"/>
                <w:vertAlign w:val="subscript"/>
              </w:rPr>
              <w:t>2.5</w:t>
            </w:r>
            <w:r>
              <w:rPr>
                <w:rFonts w:ascii="Calibri" w:hAnsi="Calibri" w:eastAsia="Calibri"/>
                <w:b/>
                <w:i w:val="0"/>
                <w:color w:val="173D4C"/>
                <w:sz w:val="13"/>
              </w:rPr>
              <w:t xml:space="preserve"> · 24 horas</w:t>
            </w:r>
            <w:r>
              <w:br/>
            </w:r>
            <w:r>
              <w:rPr>
                <w:rFonts w:ascii="Calibri" w:hAnsi="Calibri" w:eastAsia="Calibri"/>
                <w:b/>
                <w:i w:val="0"/>
                <w:color w:val="6C8894"/>
                <w:sz w:val="13"/>
              </w:rPr>
              <w:t>Percentil 99 ≤ 33 µg/m³</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D0453F"/>
          </w:tcPr>
          <w:p>
            <w:pPr>
              <w:spacing w:after="0"/>
              <w:jc w:val="center"/>
            </w:pPr>
            <w:r>
              <w:rPr>
                <w:rFonts w:ascii="Calibri" w:hAnsi="Calibri" w:eastAsia="Calibri"/>
                <w:b/>
                <w:i w:val="0"/>
                <w:color w:val="FFFFFF"/>
                <w:sz w:val="13"/>
              </w:rPr>
              <w:t>121</w:t>
            </w:r>
          </w:p>
        </w:tc>
        <w:tc>
          <w:tcPr>
            <w:tcW w:type="dxa" w:w="611"/>
            <w:shd w:val="clear" w:color="auto" w:fill="D0453F"/>
          </w:tcPr>
          <w:p>
            <w:pPr>
              <w:spacing w:after="0"/>
              <w:jc w:val="center"/>
            </w:pPr>
            <w:r>
              <w:rPr>
                <w:rFonts w:ascii="Calibri" w:hAnsi="Calibri" w:eastAsia="Calibri"/>
                <w:b/>
                <w:i w:val="0"/>
                <w:color w:val="FFFFFF"/>
                <w:sz w:val="13"/>
              </w:rPr>
              <w:t>53</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D0453F"/>
          </w:tcPr>
          <w:p>
            <w:pPr>
              <w:spacing w:after="0"/>
              <w:jc w:val="center"/>
            </w:pPr>
            <w:r>
              <w:rPr>
                <w:rFonts w:ascii="Calibri" w:hAnsi="Calibri" w:eastAsia="Calibri"/>
                <w:b/>
                <w:i w:val="0"/>
                <w:color w:val="FFFFFF"/>
                <w:sz w:val="13"/>
              </w:rPr>
              <w:t>73</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D0453F"/>
          </w:tcPr>
          <w:p>
            <w:pPr>
              <w:spacing w:after="0"/>
              <w:jc w:val="center"/>
            </w:pPr>
            <w:r>
              <w:rPr>
                <w:rFonts w:ascii="Calibri" w:hAnsi="Calibri" w:eastAsia="Calibri"/>
                <w:b/>
                <w:i w:val="0"/>
                <w:color w:val="FFFFFF"/>
                <w:sz w:val="13"/>
              </w:rPr>
              <w:t>59</w:t>
            </w:r>
          </w:p>
        </w:tc>
        <w:tc>
          <w:tcPr>
            <w:tcW w:type="dxa" w:w="611"/>
            <w:shd w:val="clear" w:color="auto" w:fill="D0453F"/>
          </w:tcPr>
          <w:p>
            <w:pPr>
              <w:spacing w:after="0"/>
              <w:jc w:val="center"/>
            </w:pPr>
            <w:r>
              <w:rPr>
                <w:rFonts w:ascii="Calibri" w:hAnsi="Calibri" w:eastAsia="Calibri"/>
                <w:b/>
                <w:i w:val="0"/>
                <w:color w:val="FFFFFF"/>
                <w:sz w:val="13"/>
              </w:rPr>
              <w:t>34</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r>
      <w:tr>
        <w:tc>
          <w:tcPr>
            <w:tcW w:type="dxa" w:w="1803"/>
          </w:tcPr>
          <w:p>
            <w:pPr>
              <w:spacing w:after="0"/>
            </w:pPr>
            <w:r>
              <w:rPr>
                <w:rFonts w:ascii="Calibri" w:hAnsi="Calibri" w:eastAsia="Calibri"/>
                <w:b/>
                <w:i w:val="0"/>
                <w:color w:val="173D4C"/>
                <w:sz w:val="13"/>
              </w:rPr>
              <w:t>PM</w:t>
            </w:r>
            <w:r>
              <w:rPr>
                <w:rFonts w:ascii="Calibri" w:hAnsi="Calibri" w:eastAsia="Calibri"/>
                <w:b/>
                <w:i w:val="0"/>
                <w:color w:val="173D4C"/>
                <w:sz w:val="13"/>
                <w:vertAlign w:val="subscript"/>
              </w:rPr>
              <w:t>2.5</w:t>
            </w:r>
            <w:r>
              <w:rPr>
                <w:rFonts w:ascii="Calibri" w:hAnsi="Calibri" w:eastAsia="Calibri"/>
                <w:b/>
                <w:i w:val="0"/>
                <w:color w:val="173D4C"/>
                <w:sz w:val="13"/>
              </w:rPr>
              <w:t xml:space="preserve"> · Anual</w:t>
            </w:r>
            <w:r>
              <w:br/>
            </w:r>
            <w:r>
              <w:rPr>
                <w:rFonts w:ascii="Calibri" w:hAnsi="Calibri" w:eastAsia="Calibri"/>
                <w:b/>
                <w:i w:val="0"/>
                <w:color w:val="6C8894"/>
                <w:sz w:val="13"/>
              </w:rPr>
              <w:t>Promedio ≤ 10 µg/m³</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D0453F"/>
          </w:tcPr>
          <w:p>
            <w:pPr>
              <w:spacing w:after="0"/>
              <w:jc w:val="center"/>
            </w:pPr>
            <w:r>
              <w:rPr>
                <w:rFonts w:ascii="Calibri" w:hAnsi="Calibri" w:eastAsia="Calibri"/>
                <w:b/>
                <w:i w:val="0"/>
                <w:color w:val="FFFFFF"/>
                <w:sz w:val="13"/>
              </w:rPr>
              <w:t>41</w:t>
            </w:r>
          </w:p>
        </w:tc>
        <w:tc>
          <w:tcPr>
            <w:tcW w:type="dxa" w:w="611"/>
            <w:shd w:val="clear" w:color="auto" w:fill="D0453F"/>
          </w:tcPr>
          <w:p>
            <w:pPr>
              <w:spacing w:after="0"/>
              <w:jc w:val="center"/>
            </w:pPr>
            <w:r>
              <w:rPr>
                <w:rFonts w:ascii="Calibri" w:hAnsi="Calibri" w:eastAsia="Calibri"/>
                <w:b/>
                <w:i w:val="0"/>
                <w:color w:val="FFFFFF"/>
                <w:sz w:val="13"/>
              </w:rPr>
              <w:t>17</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D0453F"/>
          </w:tcPr>
          <w:p>
            <w:pPr>
              <w:spacing w:after="0"/>
              <w:jc w:val="center"/>
            </w:pPr>
            <w:r>
              <w:rPr>
                <w:rFonts w:ascii="Calibri" w:hAnsi="Calibri" w:eastAsia="Calibri"/>
                <w:b/>
                <w:i w:val="0"/>
                <w:color w:val="FFFFFF"/>
                <w:sz w:val="13"/>
              </w:rPr>
              <w:t>24</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D0453F"/>
          </w:tcPr>
          <w:p>
            <w:pPr>
              <w:spacing w:after="0"/>
              <w:jc w:val="center"/>
            </w:pPr>
            <w:r>
              <w:rPr>
                <w:rFonts w:ascii="Calibri" w:hAnsi="Calibri" w:eastAsia="Calibri"/>
                <w:b/>
                <w:i w:val="0"/>
                <w:color w:val="FFFFFF"/>
                <w:sz w:val="13"/>
              </w:rPr>
              <w:t>27</w:t>
            </w:r>
          </w:p>
        </w:tc>
        <w:tc>
          <w:tcPr>
            <w:tcW w:type="dxa" w:w="611"/>
            <w:shd w:val="clear" w:color="auto" w:fill="D0453F"/>
          </w:tcPr>
          <w:p>
            <w:pPr>
              <w:spacing w:after="0"/>
              <w:jc w:val="center"/>
            </w:pPr>
            <w:r>
              <w:rPr>
                <w:rFonts w:ascii="Calibri" w:hAnsi="Calibri" w:eastAsia="Calibri"/>
                <w:b/>
                <w:i w:val="0"/>
                <w:color w:val="FFFFFF"/>
                <w:sz w:val="13"/>
              </w:rPr>
              <w:t>15</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r>
      <w:tr>
        <w:tc>
          <w:tcPr>
            <w:tcW w:type="dxa" w:w="1803"/>
          </w:tcPr>
          <w:p>
            <w:pPr>
              <w:spacing w:after="0"/>
            </w:pPr>
            <w:r>
              <w:rPr>
                <w:rFonts w:ascii="Calibri" w:hAnsi="Calibri" w:eastAsia="Calibri"/>
                <w:b/>
                <w:i w:val="0"/>
                <w:color w:val="173D4C"/>
                <w:sz w:val="13"/>
              </w:rPr>
              <w:t>O</w:t>
            </w:r>
            <w:r>
              <w:rPr>
                <w:rFonts w:ascii="Calibri" w:hAnsi="Calibri" w:eastAsia="Calibri"/>
                <w:b/>
                <w:i w:val="0"/>
                <w:color w:val="173D4C"/>
                <w:sz w:val="13"/>
                <w:vertAlign w:val="subscript"/>
              </w:rPr>
              <w:t>3</w:t>
            </w:r>
            <w:r>
              <w:rPr>
                <w:rFonts w:ascii="Calibri" w:hAnsi="Calibri" w:eastAsia="Calibri"/>
                <w:b/>
                <w:i w:val="0"/>
                <w:color w:val="173D4C"/>
                <w:sz w:val="13"/>
              </w:rPr>
              <w:t xml:space="preserve"> · 1 hora</w:t>
            </w:r>
            <w:r>
              <w:br/>
            </w:r>
            <w:r>
              <w:rPr>
                <w:rFonts w:ascii="Calibri" w:hAnsi="Calibri" w:eastAsia="Calibri"/>
                <w:b/>
                <w:i w:val="0"/>
                <w:color w:val="6C8894"/>
                <w:sz w:val="13"/>
              </w:rPr>
              <w:t>Máximo ≤ 0.090 ppm</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D0453F"/>
          </w:tcPr>
          <w:p>
            <w:pPr>
              <w:spacing w:after="0"/>
              <w:jc w:val="center"/>
            </w:pPr>
            <w:r>
              <w:rPr>
                <w:rFonts w:ascii="Calibri" w:hAnsi="Calibri" w:eastAsia="Calibri"/>
                <w:b/>
                <w:i w:val="0"/>
                <w:color w:val="FFFFFF"/>
                <w:sz w:val="13"/>
              </w:rPr>
              <w:t>0.113</w:t>
            </w:r>
          </w:p>
        </w:tc>
        <w:tc>
          <w:tcPr>
            <w:tcW w:type="dxa" w:w="611"/>
            <w:shd w:val="clear" w:color="auto" w:fill="D0453F"/>
          </w:tcPr>
          <w:p>
            <w:pPr>
              <w:spacing w:after="0"/>
              <w:jc w:val="center"/>
            </w:pPr>
            <w:r>
              <w:rPr>
                <w:rFonts w:ascii="Calibri" w:hAnsi="Calibri" w:eastAsia="Calibri"/>
                <w:b/>
                <w:i w:val="0"/>
                <w:color w:val="FFFFFF"/>
                <w:sz w:val="13"/>
              </w:rPr>
              <w:t>0.156</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D0453F"/>
          </w:tcPr>
          <w:p>
            <w:pPr>
              <w:spacing w:after="0"/>
              <w:jc w:val="center"/>
            </w:pPr>
            <w:r>
              <w:rPr>
                <w:rFonts w:ascii="Calibri" w:hAnsi="Calibri" w:eastAsia="Calibri"/>
                <w:b/>
                <w:i w:val="0"/>
                <w:color w:val="FFFFFF"/>
                <w:sz w:val="13"/>
              </w:rPr>
              <w:t>0.153</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D0453F"/>
          </w:tcPr>
          <w:p>
            <w:pPr>
              <w:spacing w:after="0"/>
              <w:jc w:val="center"/>
            </w:pPr>
            <w:r>
              <w:rPr>
                <w:rFonts w:ascii="Calibri" w:hAnsi="Calibri" w:eastAsia="Calibri"/>
                <w:b/>
                <w:i w:val="0"/>
                <w:color w:val="FFFFFF"/>
                <w:sz w:val="13"/>
              </w:rPr>
              <w:t>0.125</w:t>
            </w:r>
          </w:p>
        </w:tc>
        <w:tc>
          <w:tcPr>
            <w:tcW w:type="dxa" w:w="611"/>
            <w:shd w:val="clear" w:color="auto" w:fill="D0453F"/>
          </w:tcPr>
          <w:p>
            <w:pPr>
              <w:spacing w:after="0"/>
              <w:jc w:val="center"/>
            </w:pPr>
            <w:r>
              <w:rPr>
                <w:rFonts w:ascii="Calibri" w:hAnsi="Calibri" w:eastAsia="Calibri"/>
                <w:b/>
                <w:i w:val="0"/>
                <w:color w:val="FFFFFF"/>
                <w:sz w:val="13"/>
              </w:rPr>
              <w:t>0.157</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D0453F"/>
          </w:tcPr>
          <w:p>
            <w:pPr>
              <w:spacing w:after="0"/>
              <w:jc w:val="center"/>
            </w:pPr>
            <w:r>
              <w:rPr>
                <w:rFonts w:ascii="Calibri" w:hAnsi="Calibri" w:eastAsia="Calibri"/>
                <w:b/>
                <w:i w:val="0"/>
                <w:color w:val="FFFFFF"/>
                <w:sz w:val="13"/>
              </w:rPr>
              <w:t>0.169</w:t>
            </w:r>
          </w:p>
        </w:tc>
      </w:tr>
      <w:tr>
        <w:tc>
          <w:tcPr>
            <w:tcW w:type="dxa" w:w="1803"/>
          </w:tcPr>
          <w:p>
            <w:pPr>
              <w:spacing w:after="0"/>
            </w:pPr>
            <w:r>
              <w:rPr>
                <w:rFonts w:ascii="Calibri" w:hAnsi="Calibri" w:eastAsia="Calibri"/>
                <w:b/>
                <w:i w:val="0"/>
                <w:color w:val="173D4C"/>
                <w:sz w:val="13"/>
              </w:rPr>
              <w:t>O</w:t>
            </w:r>
            <w:r>
              <w:rPr>
                <w:rFonts w:ascii="Calibri" w:hAnsi="Calibri" w:eastAsia="Calibri"/>
                <w:b/>
                <w:i w:val="0"/>
                <w:color w:val="173D4C"/>
                <w:sz w:val="13"/>
                <w:vertAlign w:val="subscript"/>
              </w:rPr>
              <w:t>3</w:t>
            </w:r>
            <w:r>
              <w:rPr>
                <w:rFonts w:ascii="Calibri" w:hAnsi="Calibri" w:eastAsia="Calibri"/>
                <w:b/>
                <w:i w:val="0"/>
                <w:color w:val="173D4C"/>
                <w:sz w:val="13"/>
              </w:rPr>
              <w:t xml:space="preserve"> · 8 horas</w:t>
            </w:r>
            <w:r>
              <w:br/>
            </w:r>
            <w:r>
              <w:rPr>
                <w:rFonts w:ascii="Calibri" w:hAnsi="Calibri" w:eastAsia="Calibri"/>
                <w:b/>
                <w:i w:val="0"/>
                <w:color w:val="6C8894"/>
                <w:sz w:val="13"/>
              </w:rPr>
              <w:t>Máximo de 8h ≤ 0.060 ppm</w:t>
            </w:r>
          </w:p>
        </w:tc>
        <w:tc>
          <w:tcPr>
            <w:tcW w:type="dxa" w:w="611"/>
            <w:shd w:val="clear" w:color="auto" w:fill="D0453F"/>
          </w:tcPr>
          <w:p>
            <w:pPr>
              <w:spacing w:after="0"/>
              <w:jc w:val="center"/>
            </w:pPr>
            <w:r>
              <w:rPr>
                <w:rFonts w:ascii="Calibri" w:hAnsi="Calibri" w:eastAsia="Calibri"/>
                <w:b/>
                <w:i w:val="0"/>
                <w:color w:val="FFFFFF"/>
                <w:sz w:val="13"/>
              </w:rPr>
              <w:t>0.113</w:t>
            </w:r>
          </w:p>
        </w:tc>
        <w:tc>
          <w:tcPr>
            <w:tcW w:type="dxa" w:w="611"/>
            <w:shd w:val="clear" w:color="auto" w:fill="D0453F"/>
          </w:tcPr>
          <w:p>
            <w:pPr>
              <w:spacing w:after="0"/>
              <w:jc w:val="center"/>
            </w:pPr>
            <w:r>
              <w:rPr>
                <w:rFonts w:ascii="Calibri" w:hAnsi="Calibri" w:eastAsia="Calibri"/>
                <w:b/>
                <w:i w:val="0"/>
                <w:color w:val="FFFFFF"/>
                <w:sz w:val="13"/>
              </w:rPr>
              <w:t>0.086</w:t>
            </w:r>
          </w:p>
        </w:tc>
        <w:tc>
          <w:tcPr>
            <w:tcW w:type="dxa" w:w="611"/>
            <w:shd w:val="clear" w:color="auto" w:fill="D0453F"/>
          </w:tcPr>
          <w:p>
            <w:pPr>
              <w:spacing w:after="0"/>
              <w:jc w:val="center"/>
            </w:pPr>
            <w:r>
              <w:rPr>
                <w:rFonts w:ascii="Calibri" w:hAnsi="Calibri" w:eastAsia="Calibri"/>
                <w:b/>
                <w:i w:val="0"/>
                <w:color w:val="FFFFFF"/>
                <w:sz w:val="13"/>
              </w:rPr>
              <w:t>0.109</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D0453F"/>
          </w:tcPr>
          <w:p>
            <w:pPr>
              <w:spacing w:after="0"/>
              <w:jc w:val="center"/>
            </w:pPr>
            <w:r>
              <w:rPr>
                <w:rFonts w:ascii="Calibri" w:hAnsi="Calibri" w:eastAsia="Calibri"/>
                <w:b/>
                <w:i w:val="0"/>
                <w:color w:val="FFFFFF"/>
                <w:sz w:val="13"/>
              </w:rPr>
              <w:t>0.110</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D0453F"/>
          </w:tcPr>
          <w:p>
            <w:pPr>
              <w:spacing w:after="0"/>
              <w:jc w:val="center"/>
            </w:pPr>
            <w:r>
              <w:rPr>
                <w:rFonts w:ascii="Calibri" w:hAnsi="Calibri" w:eastAsia="Calibri"/>
                <w:b/>
                <w:i w:val="0"/>
                <w:color w:val="FFFFFF"/>
                <w:sz w:val="13"/>
              </w:rPr>
              <w:t>0.093</w:t>
            </w:r>
          </w:p>
        </w:tc>
        <w:tc>
          <w:tcPr>
            <w:tcW w:type="dxa" w:w="611"/>
            <w:shd w:val="clear" w:color="auto" w:fill="D0453F"/>
          </w:tcPr>
          <w:p>
            <w:pPr>
              <w:spacing w:after="0"/>
              <w:jc w:val="center"/>
            </w:pPr>
            <w:r>
              <w:rPr>
                <w:rFonts w:ascii="Calibri" w:hAnsi="Calibri" w:eastAsia="Calibri"/>
                <w:b/>
                <w:i w:val="0"/>
                <w:color w:val="FFFFFF"/>
                <w:sz w:val="13"/>
              </w:rPr>
              <w:t>0.117</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D0453F"/>
          </w:tcPr>
          <w:p>
            <w:pPr>
              <w:spacing w:after="0"/>
              <w:jc w:val="center"/>
            </w:pPr>
            <w:r>
              <w:rPr>
                <w:rFonts w:ascii="Calibri" w:hAnsi="Calibri" w:eastAsia="Calibri"/>
                <w:b/>
                <w:i w:val="0"/>
                <w:color w:val="FFFFFF"/>
                <w:sz w:val="13"/>
              </w:rPr>
              <w:t>0.120</w:t>
            </w:r>
          </w:p>
        </w:tc>
      </w:tr>
      <w:tr>
        <w:tc>
          <w:tcPr>
            <w:tcW w:type="dxa" w:w="1803"/>
          </w:tcPr>
          <w:p>
            <w:pPr>
              <w:spacing w:after="0"/>
            </w:pPr>
            <w:r>
              <w:rPr>
                <w:rFonts w:ascii="Calibri" w:hAnsi="Calibri" w:eastAsia="Calibri"/>
                <w:b/>
                <w:i w:val="0"/>
                <w:color w:val="173D4C"/>
                <w:sz w:val="13"/>
              </w:rPr>
              <w:t>CO · 1 hora</w:t>
            </w:r>
            <w:r>
              <w:br/>
            </w:r>
            <w:r>
              <w:rPr>
                <w:rFonts w:ascii="Calibri" w:hAnsi="Calibri" w:eastAsia="Calibri"/>
                <w:b/>
                <w:i w:val="0"/>
                <w:color w:val="6C8894"/>
                <w:sz w:val="13"/>
              </w:rPr>
              <w:t>Máximo ≤ 26 ppm</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2E9E3B"/>
          </w:tcPr>
          <w:p>
            <w:pPr>
              <w:spacing w:after="0"/>
              <w:jc w:val="center"/>
            </w:pPr>
            <w:r>
              <w:rPr>
                <w:rFonts w:ascii="Calibri" w:hAnsi="Calibri" w:eastAsia="Calibri"/>
                <w:b/>
                <w:i w:val="0"/>
                <w:color w:val="FFFFFF"/>
                <w:sz w:val="13"/>
              </w:rPr>
              <w:t>7.7</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2E9E3B"/>
          </w:tcPr>
          <w:p>
            <w:pPr>
              <w:spacing w:after="0"/>
              <w:jc w:val="center"/>
            </w:pPr>
            <w:r>
              <w:rPr>
                <w:rFonts w:ascii="Calibri" w:hAnsi="Calibri" w:eastAsia="Calibri"/>
                <w:b/>
                <w:i w:val="0"/>
                <w:color w:val="FFFFFF"/>
                <w:sz w:val="13"/>
              </w:rPr>
              <w:t>5.4</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2E9E3B"/>
          </w:tcPr>
          <w:p>
            <w:pPr>
              <w:spacing w:after="0"/>
              <w:jc w:val="center"/>
            </w:pPr>
            <w:r>
              <w:rPr>
                <w:rFonts w:ascii="Calibri" w:hAnsi="Calibri" w:eastAsia="Calibri"/>
                <w:b/>
                <w:i w:val="0"/>
                <w:color w:val="FFFFFF"/>
                <w:sz w:val="13"/>
              </w:rPr>
              <w:t>6.6</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r>
      <w:tr>
        <w:tc>
          <w:tcPr>
            <w:tcW w:type="dxa" w:w="1803"/>
          </w:tcPr>
          <w:p>
            <w:pPr>
              <w:spacing w:after="0"/>
            </w:pPr>
            <w:r>
              <w:rPr>
                <w:rFonts w:ascii="Calibri" w:hAnsi="Calibri" w:eastAsia="Calibri"/>
                <w:b/>
                <w:i w:val="0"/>
                <w:color w:val="173D4C"/>
                <w:sz w:val="13"/>
              </w:rPr>
              <w:t>CO · 8 horas</w:t>
            </w:r>
            <w:r>
              <w:br/>
            </w:r>
            <w:r>
              <w:rPr>
                <w:rFonts w:ascii="Calibri" w:hAnsi="Calibri" w:eastAsia="Calibri"/>
                <w:b/>
                <w:i w:val="0"/>
                <w:color w:val="6C8894"/>
                <w:sz w:val="13"/>
              </w:rPr>
              <w:t>Máximo de 8h ≤ 9 ppm</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2E9E3B"/>
          </w:tcPr>
          <w:p>
            <w:pPr>
              <w:spacing w:after="0"/>
              <w:jc w:val="center"/>
            </w:pPr>
            <w:r>
              <w:rPr>
                <w:rFonts w:ascii="Calibri" w:hAnsi="Calibri" w:eastAsia="Calibri"/>
                <w:b/>
                <w:i w:val="0"/>
                <w:color w:val="FFFFFF"/>
                <w:sz w:val="13"/>
              </w:rPr>
              <w:t>6.4</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2E9E3B"/>
          </w:tcPr>
          <w:p>
            <w:pPr>
              <w:spacing w:after="0"/>
              <w:jc w:val="center"/>
            </w:pPr>
            <w:r>
              <w:rPr>
                <w:rFonts w:ascii="Calibri" w:hAnsi="Calibri" w:eastAsia="Calibri"/>
                <w:b/>
                <w:i w:val="0"/>
                <w:color w:val="FFFFFF"/>
                <w:sz w:val="13"/>
              </w:rPr>
              <w:t>4.0</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2E9E3B"/>
          </w:tcPr>
          <w:p>
            <w:pPr>
              <w:spacing w:after="0"/>
              <w:jc w:val="center"/>
            </w:pPr>
            <w:r>
              <w:rPr>
                <w:rFonts w:ascii="Calibri" w:hAnsi="Calibri" w:eastAsia="Calibri"/>
                <w:b/>
                <w:i w:val="0"/>
                <w:color w:val="FFFFFF"/>
                <w:sz w:val="13"/>
              </w:rPr>
              <w:t>3.4</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r>
      <w:tr>
        <w:tc>
          <w:tcPr>
            <w:tcW w:type="dxa" w:w="1803"/>
          </w:tcPr>
          <w:p>
            <w:pPr>
              <w:spacing w:after="0"/>
            </w:pPr>
            <w:r>
              <w:rPr>
                <w:rFonts w:ascii="Calibri" w:hAnsi="Calibri" w:eastAsia="Calibri"/>
                <w:b/>
                <w:i w:val="0"/>
                <w:color w:val="173D4C"/>
                <w:sz w:val="13"/>
              </w:rPr>
              <w:t>NO</w:t>
            </w:r>
            <w:r>
              <w:rPr>
                <w:rFonts w:ascii="Calibri" w:hAnsi="Calibri" w:eastAsia="Calibri"/>
                <w:b/>
                <w:i w:val="0"/>
                <w:color w:val="173D4C"/>
                <w:sz w:val="13"/>
                <w:vertAlign w:val="subscript"/>
              </w:rPr>
              <w:t>2</w:t>
            </w:r>
            <w:r>
              <w:rPr>
                <w:rFonts w:ascii="Calibri" w:hAnsi="Calibri" w:eastAsia="Calibri"/>
                <w:b/>
                <w:i w:val="0"/>
                <w:color w:val="173D4C"/>
                <w:sz w:val="13"/>
              </w:rPr>
              <w:t xml:space="preserve"> · 1 hora</w:t>
            </w:r>
            <w:r>
              <w:br/>
            </w:r>
            <w:r>
              <w:rPr>
                <w:rFonts w:ascii="Calibri" w:hAnsi="Calibri" w:eastAsia="Calibri"/>
                <w:b/>
                <w:i w:val="0"/>
                <w:color w:val="6C8894"/>
                <w:sz w:val="13"/>
              </w:rPr>
              <w:t>Máximo ≤ 0.106 ppm</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E7ECEE"/>
          </w:tcPr>
          <w:p>
            <w:pPr>
              <w:spacing w:after="0"/>
              <w:jc w:val="center"/>
            </w:pPr>
            <w:r>
              <w:rPr>
                <w:rFonts w:ascii="Calibri" w:hAnsi="Calibri" w:eastAsia="Calibri"/>
                <w:b/>
                <w:i w:val="0"/>
                <w:color w:val="173D4C"/>
                <w:sz w:val="13"/>
              </w:rPr>
              <w:t>FO</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r>
      <w:tr>
        <w:tc>
          <w:tcPr>
            <w:tcW w:type="dxa" w:w="1803"/>
          </w:tcPr>
          <w:p>
            <w:pPr>
              <w:spacing w:after="0"/>
            </w:pPr>
            <w:r>
              <w:rPr>
                <w:rFonts w:ascii="Calibri" w:hAnsi="Calibri" w:eastAsia="Calibri"/>
                <w:b/>
                <w:i w:val="0"/>
                <w:color w:val="173D4C"/>
                <w:sz w:val="13"/>
              </w:rPr>
              <w:t>NO</w:t>
            </w:r>
            <w:r>
              <w:rPr>
                <w:rFonts w:ascii="Calibri" w:hAnsi="Calibri" w:eastAsia="Calibri"/>
                <w:b/>
                <w:i w:val="0"/>
                <w:color w:val="173D4C"/>
                <w:sz w:val="13"/>
                <w:vertAlign w:val="subscript"/>
              </w:rPr>
              <w:t>2</w:t>
            </w:r>
            <w:r>
              <w:rPr>
                <w:rFonts w:ascii="Calibri" w:hAnsi="Calibri" w:eastAsia="Calibri"/>
                <w:b/>
                <w:i w:val="0"/>
                <w:color w:val="173D4C"/>
                <w:sz w:val="13"/>
              </w:rPr>
              <w:t xml:space="preserve"> · Anual</w:t>
            </w:r>
            <w:r>
              <w:br/>
            </w:r>
            <w:r>
              <w:rPr>
                <w:rFonts w:ascii="Calibri" w:hAnsi="Calibri" w:eastAsia="Calibri"/>
                <w:b/>
                <w:i w:val="0"/>
                <w:color w:val="6C8894"/>
                <w:sz w:val="13"/>
              </w:rPr>
              <w:t>Promedio ≤ 0.021 ppm</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E7ECEE"/>
          </w:tcPr>
          <w:p>
            <w:pPr>
              <w:spacing w:after="0"/>
              <w:jc w:val="center"/>
            </w:pPr>
            <w:r>
              <w:rPr>
                <w:rFonts w:ascii="Calibri" w:hAnsi="Calibri" w:eastAsia="Calibri"/>
                <w:b/>
                <w:i w:val="0"/>
                <w:color w:val="173D4C"/>
                <w:sz w:val="13"/>
              </w:rPr>
              <w:t>FO</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c>
          <w:tcPr>
            <w:tcW w:type="dxa" w:w="611"/>
            <w:shd w:val="clear" w:color="auto" w:fill="B7C2C7"/>
          </w:tcPr>
          <w:p>
            <w:pPr>
              <w:spacing w:after="0"/>
              <w:jc w:val="center"/>
            </w:pPr>
            <w:r>
              <w:rPr>
                <w:rFonts w:ascii="Calibri" w:hAnsi="Calibri" w:eastAsia="Calibri"/>
                <w:b/>
                <w:i w:val="0"/>
                <w:color w:val="173D4C"/>
                <w:sz w:val="13"/>
              </w:rPr>
              <w:t>D.I.</w:t>
            </w:r>
          </w:p>
        </w:tc>
      </w:tr>
      <w:tr>
        <w:tc>
          <w:tcPr>
            <w:tcW w:type="dxa" w:w="1803"/>
          </w:tcPr>
          <w:p>
            <w:pPr>
              <w:spacing w:after="0"/>
            </w:pPr>
            <w:r>
              <w:rPr>
                <w:rFonts w:ascii="Calibri" w:hAnsi="Calibri" w:eastAsia="Calibri"/>
                <w:b/>
                <w:i w:val="0"/>
                <w:color w:val="173D4C"/>
                <w:sz w:val="13"/>
              </w:rPr>
              <w:t>SO</w:t>
            </w:r>
            <w:r>
              <w:rPr>
                <w:rFonts w:ascii="Calibri" w:hAnsi="Calibri" w:eastAsia="Calibri"/>
                <w:b/>
                <w:i w:val="0"/>
                <w:color w:val="173D4C"/>
                <w:sz w:val="13"/>
                <w:vertAlign w:val="subscript"/>
              </w:rPr>
              <w:t>2</w:t>
            </w:r>
            <w:r>
              <w:rPr>
                <w:rFonts w:ascii="Calibri" w:hAnsi="Calibri" w:eastAsia="Calibri"/>
                <w:b/>
                <w:i w:val="0"/>
                <w:color w:val="173D4C"/>
                <w:sz w:val="13"/>
              </w:rPr>
              <w:t xml:space="preserve"> · 1 hora</w:t>
            </w:r>
            <w:r>
              <w:br/>
            </w:r>
            <w:r>
              <w:rPr>
                <w:rFonts w:ascii="Calibri" w:hAnsi="Calibri" w:eastAsia="Calibri"/>
                <w:b/>
                <w:i w:val="0"/>
                <w:color w:val="6C8894"/>
                <w:sz w:val="13"/>
              </w:rPr>
              <w:t>Percentil 99 ≤ 0.075 ppm</w:t>
            </w:r>
          </w:p>
        </w:tc>
        <w:tc>
          <w:tcPr>
            <w:tcW w:type="dxa" w:w="611"/>
            <w:shd w:val="clear" w:color="auto" w:fill="E7ECEE"/>
          </w:tcPr>
          <w:p>
            <w:pPr>
              <w:spacing w:after="0"/>
              <w:jc w:val="center"/>
            </w:pPr>
            <w:r>
              <w:rPr>
                <w:rFonts w:ascii="Calibri" w:hAnsi="Calibri" w:eastAsia="Calibri"/>
                <w:b/>
                <w:i w:val="0"/>
                <w:color w:val="173D4C"/>
                <w:sz w:val="13"/>
              </w:rPr>
              <w:t>FO</w:t>
            </w:r>
          </w:p>
        </w:tc>
        <w:tc>
          <w:tcPr>
            <w:tcW w:type="dxa" w:w="611"/>
            <w:shd w:val="clear" w:color="auto" w:fill="E7ECEE"/>
          </w:tcPr>
          <w:p>
            <w:pPr>
              <w:spacing w:after="0"/>
              <w:jc w:val="center"/>
            </w:pPr>
            <w:r>
              <w:rPr>
                <w:rFonts w:ascii="Calibri" w:hAnsi="Calibri" w:eastAsia="Calibri"/>
                <w:b/>
                <w:i w:val="0"/>
                <w:color w:val="173D4C"/>
                <w:sz w:val="13"/>
              </w:rPr>
              <w:t>FO</w:t>
            </w:r>
          </w:p>
        </w:tc>
        <w:tc>
          <w:tcPr>
            <w:tcW w:type="dxa" w:w="611"/>
            <w:shd w:val="clear" w:color="auto" w:fill="E7ECEE"/>
          </w:tcPr>
          <w:p>
            <w:pPr>
              <w:spacing w:after="0"/>
              <w:jc w:val="center"/>
            </w:pPr>
            <w:r>
              <w:rPr>
                <w:rFonts w:ascii="Calibri" w:hAnsi="Calibri" w:eastAsia="Calibri"/>
                <w:b/>
                <w:i w:val="0"/>
                <w:color w:val="173D4C"/>
                <w:sz w:val="13"/>
              </w:rPr>
              <w:t>FO</w:t>
            </w:r>
          </w:p>
        </w:tc>
        <w:tc>
          <w:tcPr>
            <w:tcW w:type="dxa" w:w="611"/>
            <w:shd w:val="clear" w:color="auto" w:fill="F5F7F8"/>
          </w:tcPr>
          <w:p>
            <w:pPr>
              <w:spacing w:after="0"/>
              <w:jc w:val="center"/>
            </w:pPr>
            <w:r>
              <w:rPr>
                <w:rFonts w:ascii="Calibri" w:hAnsi="Calibri" w:eastAsia="Calibri"/>
                <w:b/>
                <w:i w:val="0"/>
                <w:color w:val="173D4C"/>
                <w:sz w:val="13"/>
              </w:rPr>
              <w:t>¤</w:t>
            </w:r>
          </w:p>
        </w:tc>
        <w:tc>
          <w:tcPr>
            <w:tcW w:type="dxa" w:w="611"/>
            <w:shd w:val="clear" w:color="auto" w:fill="E7ECEE"/>
          </w:tcPr>
          <w:p>
            <w:pPr>
              <w:spacing w:after="0"/>
              <w:jc w:val="center"/>
            </w:pPr>
            <w:r>
              <w:rPr>
                <w:rFonts w:ascii="Calibri" w:hAnsi="Calibri" w:eastAsia="Calibri"/>
                <w:b/>
                <w:i w:val="0"/>
                <w:color w:val="173D4C"/>
                <w:sz w:val="13"/>
              </w:rPr>
              <w:t>FO</w:t>
            </w:r>
          </w:p>
        </w:tc>
        <w:tc>
          <w:tcPr>
            <w:tcW w:type="dxa" w:w="611"/>
            <w:shd w:val="clear" w:color="auto" w:fill="E7ECEE"/>
          </w:tcPr>
          <w:p>
            <w:pPr>
              <w:spacing w:after="0"/>
              <w:jc w:val="center"/>
            </w:pPr>
            <w:r>
              <w:rPr>
                <w:rFonts w:ascii="Calibri" w:hAnsi="Calibri" w:eastAsia="Calibri"/>
                <w:b/>
                <w:i w:val="0"/>
                <w:color w:val="173D4C"/>
                <w:sz w:val="13"/>
              </w:rPr>
              <w:t>FO</w:t>
            </w:r>
          </w:p>
        </w:tc>
        <w:tc>
          <w:tcPr>
            <w:tcW w:type="dxa" w:w="611"/>
            <w:shd w:val="clear" w:color="auto" w:fill="F5F7F8"/>
          </w:tcPr>
          <w:p>
            <w:pPr>
              <w:spacing w:after="0"/>
              <w:jc w:val="center"/>
            </w:pPr>
            <w:r>
              <w:rPr>
                <w:rFonts w:ascii="Calibri" w:hAnsi="Calibri" w:eastAsia="Calibri"/>
                <w:b/>
                <w:i w:val="0"/>
                <w:color w:val="173D4C"/>
                <w:sz w:val="13"/>
              </w:rPr>
              <w:t>¤</w:t>
            </w:r>
          </w:p>
        </w:tc>
        <w:tc>
          <w:tcPr>
            <w:tcW w:type="dxa" w:w="611"/>
            <w:shd w:val="clear" w:color="auto" w:fill="E7ECEE"/>
          </w:tcPr>
          <w:p>
            <w:pPr>
              <w:spacing w:after="0"/>
              <w:jc w:val="center"/>
            </w:pPr>
            <w:r>
              <w:rPr>
                <w:rFonts w:ascii="Calibri" w:hAnsi="Calibri" w:eastAsia="Calibri"/>
                <w:b/>
                <w:i w:val="0"/>
                <w:color w:val="173D4C"/>
                <w:sz w:val="13"/>
              </w:rPr>
              <w:t>FO</w:t>
            </w:r>
          </w:p>
        </w:tc>
        <w:tc>
          <w:tcPr>
            <w:tcW w:type="dxa" w:w="611"/>
            <w:shd w:val="clear" w:color="auto" w:fill="F5F7F8"/>
          </w:tcPr>
          <w:p>
            <w:pPr>
              <w:spacing w:after="0"/>
              <w:jc w:val="center"/>
            </w:pPr>
            <w:r>
              <w:rPr>
                <w:rFonts w:ascii="Calibri" w:hAnsi="Calibri" w:eastAsia="Calibri"/>
                <w:b/>
                <w:i w:val="0"/>
                <w:color w:val="173D4C"/>
                <w:sz w:val="13"/>
              </w:rPr>
              <w:t>¤</w:t>
            </w:r>
          </w:p>
        </w:tc>
        <w:tc>
          <w:tcPr>
            <w:tcW w:type="dxa" w:w="611"/>
            <w:shd w:val="clear" w:color="auto" w:fill="F5F7F8"/>
          </w:tcPr>
          <w:p>
            <w:pPr>
              <w:spacing w:after="0"/>
              <w:jc w:val="center"/>
            </w:pPr>
            <w:r>
              <w:rPr>
                <w:rFonts w:ascii="Calibri" w:hAnsi="Calibri" w:eastAsia="Calibri"/>
                <w:b/>
                <w:i w:val="0"/>
                <w:color w:val="173D4C"/>
                <w:sz w:val="13"/>
              </w:rPr>
              <w:t>¤</w:t>
            </w:r>
          </w:p>
        </w:tc>
        <w:tc>
          <w:tcPr>
            <w:tcW w:type="dxa" w:w="611"/>
            <w:shd w:val="clear" w:color="auto" w:fill="F5F7F8"/>
          </w:tcPr>
          <w:p>
            <w:pPr>
              <w:spacing w:after="0"/>
              <w:jc w:val="center"/>
            </w:pPr>
            <w:r>
              <w:rPr>
                <w:rFonts w:ascii="Calibri" w:hAnsi="Calibri" w:eastAsia="Calibri"/>
                <w:b/>
                <w:i w:val="0"/>
                <w:color w:val="173D4C"/>
                <w:sz w:val="13"/>
              </w:rPr>
              <w:t>¤</w:t>
            </w:r>
          </w:p>
        </w:tc>
        <w:tc>
          <w:tcPr>
            <w:tcW w:type="dxa" w:w="611"/>
            <w:shd w:val="clear" w:color="auto" w:fill="F5F7F8"/>
          </w:tcPr>
          <w:p>
            <w:pPr>
              <w:spacing w:after="0"/>
              <w:jc w:val="center"/>
            </w:pPr>
            <w:r>
              <w:rPr>
                <w:rFonts w:ascii="Calibri" w:hAnsi="Calibri" w:eastAsia="Calibri"/>
                <w:b/>
                <w:i w:val="0"/>
                <w:color w:val="173D4C"/>
                <w:sz w:val="13"/>
              </w:rPr>
              <w:t>¤</w:t>
            </w:r>
          </w:p>
        </w:tc>
        <w:tc>
          <w:tcPr>
            <w:tcW w:type="dxa" w:w="611"/>
            <w:shd w:val="clear" w:color="auto" w:fill="E7ECEE"/>
          </w:tcPr>
          <w:p>
            <w:pPr>
              <w:spacing w:after="0"/>
              <w:jc w:val="center"/>
            </w:pPr>
            <w:r>
              <w:rPr>
                <w:rFonts w:ascii="Calibri" w:hAnsi="Calibri" w:eastAsia="Calibri"/>
                <w:b/>
                <w:i w:val="0"/>
                <w:color w:val="173D4C"/>
                <w:sz w:val="13"/>
              </w:rPr>
              <w:t>FO</w:t>
            </w:r>
          </w:p>
        </w:tc>
      </w:tr>
      <w:tr>
        <w:tc>
          <w:tcPr>
            <w:tcW w:type="dxa" w:w="1803"/>
          </w:tcPr>
          <w:p>
            <w:pPr>
              <w:spacing w:after="0"/>
            </w:pPr>
            <w:r>
              <w:rPr>
                <w:rFonts w:ascii="Calibri" w:hAnsi="Calibri" w:eastAsia="Calibri"/>
                <w:b/>
                <w:i w:val="0"/>
                <w:color w:val="173D4C"/>
                <w:sz w:val="13"/>
              </w:rPr>
              <w:t>SO</w:t>
            </w:r>
            <w:r>
              <w:rPr>
                <w:rFonts w:ascii="Calibri" w:hAnsi="Calibri" w:eastAsia="Calibri"/>
                <w:b/>
                <w:i w:val="0"/>
                <w:color w:val="173D4C"/>
                <w:sz w:val="13"/>
                <w:vertAlign w:val="subscript"/>
              </w:rPr>
              <w:t>2</w:t>
            </w:r>
            <w:r>
              <w:rPr>
                <w:rFonts w:ascii="Calibri" w:hAnsi="Calibri" w:eastAsia="Calibri"/>
                <w:b/>
                <w:i w:val="0"/>
                <w:color w:val="173D4C"/>
                <w:sz w:val="13"/>
              </w:rPr>
              <w:t xml:space="preserve"> · 24 horas</w:t>
            </w:r>
            <w:r>
              <w:br/>
            </w:r>
            <w:r>
              <w:rPr>
                <w:rFonts w:ascii="Calibri" w:hAnsi="Calibri" w:eastAsia="Calibri"/>
                <w:b/>
                <w:i w:val="0"/>
                <w:color w:val="6C8894"/>
                <w:sz w:val="13"/>
              </w:rPr>
              <w:t>Máximo ≤ 0.040 ppm</w:t>
            </w:r>
          </w:p>
        </w:tc>
        <w:tc>
          <w:tcPr>
            <w:tcW w:type="dxa" w:w="611"/>
            <w:shd w:val="clear" w:color="auto" w:fill="E7ECEE"/>
          </w:tcPr>
          <w:p>
            <w:pPr>
              <w:spacing w:after="0"/>
              <w:jc w:val="center"/>
            </w:pPr>
            <w:r>
              <w:rPr>
                <w:rFonts w:ascii="Calibri" w:hAnsi="Calibri" w:eastAsia="Calibri"/>
                <w:b/>
                <w:i w:val="0"/>
                <w:color w:val="173D4C"/>
                <w:sz w:val="13"/>
              </w:rPr>
              <w:t>FO</w:t>
            </w:r>
          </w:p>
        </w:tc>
        <w:tc>
          <w:tcPr>
            <w:tcW w:type="dxa" w:w="611"/>
            <w:shd w:val="clear" w:color="auto" w:fill="E7ECEE"/>
          </w:tcPr>
          <w:p>
            <w:pPr>
              <w:spacing w:after="0"/>
              <w:jc w:val="center"/>
            </w:pPr>
            <w:r>
              <w:rPr>
                <w:rFonts w:ascii="Calibri" w:hAnsi="Calibri" w:eastAsia="Calibri"/>
                <w:b/>
                <w:i w:val="0"/>
                <w:color w:val="173D4C"/>
                <w:sz w:val="13"/>
              </w:rPr>
              <w:t>FO</w:t>
            </w:r>
          </w:p>
        </w:tc>
        <w:tc>
          <w:tcPr>
            <w:tcW w:type="dxa" w:w="611"/>
            <w:shd w:val="clear" w:color="auto" w:fill="E7ECEE"/>
          </w:tcPr>
          <w:p>
            <w:pPr>
              <w:spacing w:after="0"/>
              <w:jc w:val="center"/>
            </w:pPr>
            <w:r>
              <w:rPr>
                <w:rFonts w:ascii="Calibri" w:hAnsi="Calibri" w:eastAsia="Calibri"/>
                <w:b/>
                <w:i w:val="0"/>
                <w:color w:val="173D4C"/>
                <w:sz w:val="13"/>
              </w:rPr>
              <w:t>FO</w:t>
            </w:r>
          </w:p>
        </w:tc>
        <w:tc>
          <w:tcPr>
            <w:tcW w:type="dxa" w:w="611"/>
            <w:shd w:val="clear" w:color="auto" w:fill="F5F7F8"/>
          </w:tcPr>
          <w:p>
            <w:pPr>
              <w:spacing w:after="0"/>
              <w:jc w:val="center"/>
            </w:pPr>
            <w:r>
              <w:rPr>
                <w:rFonts w:ascii="Calibri" w:hAnsi="Calibri" w:eastAsia="Calibri"/>
                <w:b/>
                <w:i w:val="0"/>
                <w:color w:val="173D4C"/>
                <w:sz w:val="13"/>
              </w:rPr>
              <w:t>¤</w:t>
            </w:r>
          </w:p>
        </w:tc>
        <w:tc>
          <w:tcPr>
            <w:tcW w:type="dxa" w:w="611"/>
            <w:shd w:val="clear" w:color="auto" w:fill="E7ECEE"/>
          </w:tcPr>
          <w:p>
            <w:pPr>
              <w:spacing w:after="0"/>
              <w:jc w:val="center"/>
            </w:pPr>
            <w:r>
              <w:rPr>
                <w:rFonts w:ascii="Calibri" w:hAnsi="Calibri" w:eastAsia="Calibri"/>
                <w:b/>
                <w:i w:val="0"/>
                <w:color w:val="173D4C"/>
                <w:sz w:val="13"/>
              </w:rPr>
              <w:t>FO</w:t>
            </w:r>
          </w:p>
        </w:tc>
        <w:tc>
          <w:tcPr>
            <w:tcW w:type="dxa" w:w="611"/>
            <w:shd w:val="clear" w:color="auto" w:fill="E7ECEE"/>
          </w:tcPr>
          <w:p>
            <w:pPr>
              <w:spacing w:after="0"/>
              <w:jc w:val="center"/>
            </w:pPr>
            <w:r>
              <w:rPr>
                <w:rFonts w:ascii="Calibri" w:hAnsi="Calibri" w:eastAsia="Calibri"/>
                <w:b/>
                <w:i w:val="0"/>
                <w:color w:val="173D4C"/>
                <w:sz w:val="13"/>
              </w:rPr>
              <w:t>FO</w:t>
            </w:r>
          </w:p>
        </w:tc>
        <w:tc>
          <w:tcPr>
            <w:tcW w:type="dxa" w:w="611"/>
            <w:shd w:val="clear" w:color="auto" w:fill="F5F7F8"/>
          </w:tcPr>
          <w:p>
            <w:pPr>
              <w:spacing w:after="0"/>
              <w:jc w:val="center"/>
            </w:pPr>
            <w:r>
              <w:rPr>
                <w:rFonts w:ascii="Calibri" w:hAnsi="Calibri" w:eastAsia="Calibri"/>
                <w:b/>
                <w:i w:val="0"/>
                <w:color w:val="173D4C"/>
                <w:sz w:val="13"/>
              </w:rPr>
              <w:t>¤</w:t>
            </w:r>
          </w:p>
        </w:tc>
        <w:tc>
          <w:tcPr>
            <w:tcW w:type="dxa" w:w="611"/>
            <w:shd w:val="clear" w:color="auto" w:fill="E7ECEE"/>
          </w:tcPr>
          <w:p>
            <w:pPr>
              <w:spacing w:after="0"/>
              <w:jc w:val="center"/>
            </w:pPr>
            <w:r>
              <w:rPr>
                <w:rFonts w:ascii="Calibri" w:hAnsi="Calibri" w:eastAsia="Calibri"/>
                <w:b/>
                <w:i w:val="0"/>
                <w:color w:val="173D4C"/>
                <w:sz w:val="13"/>
              </w:rPr>
              <w:t>FO</w:t>
            </w:r>
          </w:p>
        </w:tc>
        <w:tc>
          <w:tcPr>
            <w:tcW w:type="dxa" w:w="611"/>
            <w:shd w:val="clear" w:color="auto" w:fill="F5F7F8"/>
          </w:tcPr>
          <w:p>
            <w:pPr>
              <w:spacing w:after="0"/>
              <w:jc w:val="center"/>
            </w:pPr>
            <w:r>
              <w:rPr>
                <w:rFonts w:ascii="Calibri" w:hAnsi="Calibri" w:eastAsia="Calibri"/>
                <w:b/>
                <w:i w:val="0"/>
                <w:color w:val="173D4C"/>
                <w:sz w:val="13"/>
              </w:rPr>
              <w:t>¤</w:t>
            </w:r>
          </w:p>
        </w:tc>
        <w:tc>
          <w:tcPr>
            <w:tcW w:type="dxa" w:w="611"/>
            <w:shd w:val="clear" w:color="auto" w:fill="F5F7F8"/>
          </w:tcPr>
          <w:p>
            <w:pPr>
              <w:spacing w:after="0"/>
              <w:jc w:val="center"/>
            </w:pPr>
            <w:r>
              <w:rPr>
                <w:rFonts w:ascii="Calibri" w:hAnsi="Calibri" w:eastAsia="Calibri"/>
                <w:b/>
                <w:i w:val="0"/>
                <w:color w:val="173D4C"/>
                <w:sz w:val="13"/>
              </w:rPr>
              <w:t>¤</w:t>
            </w:r>
          </w:p>
        </w:tc>
        <w:tc>
          <w:tcPr>
            <w:tcW w:type="dxa" w:w="611"/>
            <w:shd w:val="clear" w:color="auto" w:fill="F5F7F8"/>
          </w:tcPr>
          <w:p>
            <w:pPr>
              <w:spacing w:after="0"/>
              <w:jc w:val="center"/>
            </w:pPr>
            <w:r>
              <w:rPr>
                <w:rFonts w:ascii="Calibri" w:hAnsi="Calibri" w:eastAsia="Calibri"/>
                <w:b/>
                <w:i w:val="0"/>
                <w:color w:val="173D4C"/>
                <w:sz w:val="13"/>
              </w:rPr>
              <w:t>¤</w:t>
            </w:r>
          </w:p>
        </w:tc>
        <w:tc>
          <w:tcPr>
            <w:tcW w:type="dxa" w:w="611"/>
            <w:shd w:val="clear" w:color="auto" w:fill="F5F7F8"/>
          </w:tcPr>
          <w:p>
            <w:pPr>
              <w:spacing w:after="0"/>
              <w:jc w:val="center"/>
            </w:pPr>
            <w:r>
              <w:rPr>
                <w:rFonts w:ascii="Calibri" w:hAnsi="Calibri" w:eastAsia="Calibri"/>
                <w:b/>
                <w:i w:val="0"/>
                <w:color w:val="173D4C"/>
                <w:sz w:val="13"/>
              </w:rPr>
              <w:t>¤</w:t>
            </w:r>
          </w:p>
        </w:tc>
        <w:tc>
          <w:tcPr>
            <w:tcW w:type="dxa" w:w="611"/>
            <w:shd w:val="clear" w:color="auto" w:fill="E7ECEE"/>
          </w:tcPr>
          <w:p>
            <w:pPr>
              <w:spacing w:after="0"/>
              <w:jc w:val="center"/>
            </w:pPr>
            <w:r>
              <w:rPr>
                <w:rFonts w:ascii="Calibri" w:hAnsi="Calibri" w:eastAsia="Calibri"/>
                <w:b/>
                <w:i w:val="0"/>
                <w:color w:val="173D4C"/>
                <w:sz w:val="13"/>
              </w:rPr>
              <w:t>FO</w:t>
            </w:r>
          </w:p>
        </w:tc>
      </w:tr>
    </w:tbl>
    <w:p>
      <w:pPr>
        <w:spacing w:after="80"/>
      </w:pPr>
    </w:p>
    <w:p>
      <w:pPr>
        <w:jc w:val="center"/>
      </w:pPr>
      <w:r>
        <w:drawing>
          <wp:inline xmlns:a="http://schemas.openxmlformats.org/drawingml/2006/main" xmlns:pic="http://schemas.openxmlformats.org/drawingml/2006/picture">
            <wp:extent cx="3765080" cy="177678"/>
            <wp:docPr id="8" name="Picture 8"/>
            <wp:cNvGraphicFramePr>
              <a:graphicFrameLocks noChangeAspect="1"/>
            </wp:cNvGraphicFramePr>
            <a:graphic>
              <a:graphicData uri="http://schemas.openxmlformats.org/drawingml/2006/picture">
                <pic:pic>
                  <pic:nvPicPr>
                    <pic:cNvPr id="0" name="d6.png"/>
                    <pic:cNvPicPr/>
                  </pic:nvPicPr>
                  <pic:blipFill>
                    <a:blip r:embed="rId18"/>
                    <a:stretch>
                      <a:fillRect/>
                    </a:stretch>
                  </pic:blipFill>
                  <pic:spPr>
                    <a:xfrm>
                      <a:off x="0" y="0"/>
                      <a:ext cx="3765080" cy="177678"/>
                    </a:xfrm>
                    <a:prstGeom prst="rect"/>
                  </pic:spPr>
                </pic:pic>
              </a:graphicData>
            </a:graphic>
          </wp:inline>
        </w:drawing>
      </w:r>
    </w:p>
    <w:p>
      <w:r>
        <w:rPr>
          <w:rFonts w:ascii="Calibri" w:hAnsi="Calibri" w:eastAsia="Calibri"/>
          <w:b w:val="0"/>
          <w:i w:val="0"/>
          <w:color w:val="6C8894"/>
          <w:sz w:val="17"/>
        </w:rPr>
        <w:t>D.I.: la estación no alcanzó el 75% de días válidos requerido en el año. FO: la estación cuenta con el equipo pero permaneció fuera de operación todo el año. ¤: la estación no mide ese contaminante.</w:t>
      </w:r>
    </w:p>
    <w:p>
      <w:r>
        <w:br w:type="page"/>
      </w:r>
    </w:p>
    <w:p>
      <w:pPr>
        <w:pStyle w:val="Heading1"/>
      </w:pPr>
      <w:r>
        <w:rPr>
          <w:rFonts w:ascii="Calibri" w:hAnsi="Calibri" w:eastAsia="Calibri"/>
          <w:b/>
          <w:i w:val="0"/>
          <w:color w:val="173D4C"/>
          <w:sz w:val="30"/>
        </w:rPr>
        <w:t>Monóxido de carbono (CO)</w:t>
      </w:r>
    </w:p>
    <w:p>
      <w:pPr>
        <w:spacing w:after="160"/>
        <w:jc w:val="both"/>
      </w:pPr>
      <w:r>
        <w:rPr>
          <w:rFonts w:ascii="Calibri" w:hAnsi="Calibri" w:eastAsia="Calibri"/>
          <w:b w:val="0"/>
          <w:i w:val="0"/>
          <w:color w:val="324D59"/>
          <w:sz w:val="22"/>
        </w:rPr>
        <w:t>El CO es un gas incoloro, inodoro e insípido, altamente tóxico. Se produce principalmente por la combustión incompleta de combustibles fósiles, siendo las fuentes más importantes los vehículos automotores, los calefactores, las estufas y las quemas no controladas.Cuando se inhala, el CO interfiere con el transporte de oxígeno en la sangre, ya que se une a la hemoglobina con una afinidad mucho mayor que la del oxígeno. Esto puede provocar dolor de cabeza, mareos, fatiga, confusión y, en altas concentraciones, puede llegar a causar la muerte.Los grupos más vulnerables son las personas con enfermedades cardiovasculares, las mujeres embarazadas, los niños pequeños y los adultos mayores.</w:t>
      </w:r>
    </w:p>
    <w:p>
      <w:pPr>
        <w:spacing w:after="160"/>
        <w:jc w:val="both"/>
      </w:pPr>
      <w:r>
        <w:rPr>
          <w:rFonts w:ascii="Calibri" w:hAnsi="Calibri" w:eastAsia="Calibri"/>
          <w:b w:val="0"/>
          <w:i w:val="0"/>
          <w:color w:val="324D59"/>
          <w:sz w:val="22"/>
        </w:rPr>
        <w:t>En el ambiente, el CO contribuye a la formación de ozono troposférico al reaccionar con otros contaminantes en presencia de la radiación solar, aunque por sí mismo no se acumula de manera significativa a largo plazo.</w:t>
      </w:r>
    </w:p>
    <w:p>
      <w:pPr>
        <w:jc w:val="center"/>
      </w:pPr>
      <w:r>
        <w:drawing>
          <wp:inline xmlns:a="http://schemas.openxmlformats.org/drawingml/2006/main" xmlns:pic="http://schemas.openxmlformats.org/drawingml/2006/picture">
            <wp:extent cx="2540000" cy="1524000"/>
            <wp:docPr id="9" name="Picture 9"/>
            <wp:cNvGraphicFramePr>
              <a:graphicFrameLocks noChangeAspect="1"/>
            </wp:cNvGraphicFramePr>
            <a:graphic>
              <a:graphicData uri="http://schemas.openxmlformats.org/drawingml/2006/picture">
                <pic:pic>
                  <pic:nvPicPr>
                    <pic:cNvPr id="0" name="d7.png"/>
                    <pic:cNvPicPr/>
                  </pic:nvPicPr>
                  <pic:blipFill>
                    <a:blip r:embed="rId19"/>
                    <a:stretch>
                      <a:fillRect/>
                    </a:stretch>
                  </pic:blipFill>
                  <pic:spPr>
                    <a:xfrm>
                      <a:off x="0" y="0"/>
                      <a:ext cx="2540000" cy="1524000"/>
                    </a:xfrm>
                    <a:prstGeom prst="rect"/>
                  </pic:spPr>
                </pic:pic>
              </a:graphicData>
            </a:graphic>
          </wp:inline>
        </w:drawing>
      </w:r>
    </w:p>
    <w:p>
      <w:pPr>
        <w:pStyle w:val="Heading2"/>
      </w:pPr>
      <w:r>
        <w:rPr>
          <w:rFonts w:ascii="Calibri" w:hAnsi="Calibri" w:eastAsia="Calibri"/>
          <w:b/>
          <w:i w:val="0"/>
          <w:color w:val="173D4C"/>
          <w:sz w:val="24"/>
        </w:rPr>
        <w:t>Comportamiento horario mensual de CO en el AMG</w:t>
      </w:r>
    </w:p>
    <w:p>
      <w:pPr>
        <w:spacing w:after="160"/>
        <w:jc w:val="both"/>
      </w:pPr>
      <w:r>
        <w:rPr>
          <w:rFonts w:ascii="Calibri" w:hAnsi="Calibri" w:eastAsia="Calibri"/>
          <w:b w:val="0"/>
          <w:i w:val="0"/>
          <w:color w:val="324D59"/>
          <w:sz w:val="22"/>
        </w:rPr>
        <w:t>En el AMG, el CO no excede los límites de la NOM, con el número de días de buena, regular o mala calidad del aire. Asimismo, se observa la distribución horaria del CO por año para el AMG, donde se observa una mayor concentración en las primeras horas del día y a finales del día, coincidente con la actividad de movilidad que suele llevarse en la ciudad. En la Figura 5 se muestra una mayor concentración durante los meses de noviembre, diciembre, enero y febrero, coincidente con las festividades.</w:t>
      </w:r>
    </w:p>
    <w:p>
      <w:pPr>
        <w:keepNext/>
        <w:spacing w:before="160"/>
      </w:pPr>
      <w:r>
        <w:rPr>
          <w:rFonts w:ascii="Calibri" w:hAnsi="Calibri" w:eastAsia="Calibri"/>
          <w:b/>
          <w:i w:val="0"/>
          <w:color w:val="173D4C"/>
          <w:sz w:val="19"/>
        </w:rPr>
        <w:t>Figura 5. Concentración promedio horaria de CO en el AMG, encadenada por mes, 2024.</w:t>
      </w:r>
    </w:p>
    <w:p>
      <w:pPr>
        <w:jc w:val="center"/>
      </w:pPr>
      <w:r>
        <w:drawing>
          <wp:inline xmlns:a="http://schemas.openxmlformats.org/drawingml/2006/main" xmlns:pic="http://schemas.openxmlformats.org/drawingml/2006/picture">
            <wp:extent cx="6188400" cy="2539699"/>
            <wp:docPr id="10" name="Picture 10"/>
            <wp:cNvGraphicFramePr>
              <a:graphicFrameLocks noChangeAspect="1"/>
            </wp:cNvGraphicFramePr>
            <a:graphic>
              <a:graphicData uri="http://schemas.openxmlformats.org/drawingml/2006/picture">
                <pic:pic>
                  <pic:nvPicPr>
                    <pic:cNvPr id="0" name="d8.png"/>
                    <pic:cNvPicPr/>
                  </pic:nvPicPr>
                  <pic:blipFill>
                    <a:blip r:embed="rId20"/>
                    <a:stretch>
                      <a:fillRect/>
                    </a:stretch>
                  </pic:blipFill>
                  <pic:spPr>
                    <a:xfrm>
                      <a:off x="0" y="0"/>
                      <a:ext cx="6188400" cy="2539699"/>
                    </a:xfrm>
                    <a:prstGeom prst="rect"/>
                  </pic:spPr>
                </pic:pic>
              </a:graphicData>
            </a:graphic>
          </wp:inline>
        </w:drawing>
      </w:r>
    </w:p>
    <w:p>
      <w:pPr>
        <w:pStyle w:val="Heading2"/>
      </w:pPr>
      <w:r>
        <w:rPr>
          <w:rFonts w:ascii="Calibri" w:hAnsi="Calibri" w:eastAsia="Calibri"/>
          <w:b/>
          <w:i w:val="0"/>
          <w:color w:val="173D4C"/>
          <w:sz w:val="24"/>
        </w:rPr>
        <w:t>Distribución horaria mensual de CO en el AMG</w:t>
      </w:r>
    </w:p>
    <w:p>
      <w:pPr>
        <w:spacing w:after="160"/>
        <w:jc w:val="both"/>
      </w:pPr>
      <w:r>
        <w:rPr>
          <w:rFonts w:ascii="Calibri" w:hAnsi="Calibri" w:eastAsia="Calibri"/>
          <w:b w:val="0"/>
          <w:i w:val="0"/>
          <w:color w:val="324D59"/>
          <w:sz w:val="22"/>
        </w:rPr>
        <w:t>La Figura 6 muestra, para cada mes de 2024, la distribución de las concentraciones horarias de CO en el AMG (promedio móvil de 8 horas; en cada hora se toma el valor más alto entre las estaciones). El contorno del violín indica qué tan frecuentes son los distintos valores; la caja abarca del primer al tercer cuartil, la línea blanca es la mediana y el punto blanco, la media. Solo se grafican los meses con al menos 75% de sus horas con dato. Sobre cada violín se indica la clave de la estación que registró el valor más alto de ese mes.</w:t>
      </w:r>
    </w:p>
    <w:p>
      <w:pPr>
        <w:spacing w:after="160"/>
        <w:jc w:val="both"/>
      </w:pPr>
      <w:r>
        <w:rPr>
          <w:rFonts w:ascii="Calibri" w:hAnsi="Calibri" w:eastAsia="Calibri"/>
          <w:b w:val="0"/>
          <w:i w:val="0"/>
          <w:color w:val="324D59"/>
          <w:sz w:val="22"/>
        </w:rPr>
        <w:t>El valor más alto registrado en el año fue de 6.4 ppm, cifra que se mantuvo por debajo del límite establecido por la NOM-021-SSA1 (9 ppm en 8 horas).</w:t>
      </w:r>
    </w:p>
    <w:p>
      <w:pPr>
        <w:keepNext/>
        <w:spacing w:before="160"/>
      </w:pPr>
      <w:r>
        <w:rPr>
          <w:rFonts w:ascii="Calibri" w:hAnsi="Calibri" w:eastAsia="Calibri"/>
          <w:b/>
          <w:i w:val="0"/>
          <w:color w:val="173D4C"/>
          <w:sz w:val="19"/>
        </w:rPr>
        <w:t>Figura 6. Distribución horaria mensual de CO (promedio móvil de 8 horas) en el AMG, 2024.</w:t>
      </w:r>
    </w:p>
    <w:p>
      <w:pPr>
        <w:jc w:val="center"/>
      </w:pPr>
      <w:r>
        <w:drawing>
          <wp:inline xmlns:a="http://schemas.openxmlformats.org/drawingml/2006/main" xmlns:pic="http://schemas.openxmlformats.org/drawingml/2006/picture">
            <wp:extent cx="6188400" cy="2095252"/>
            <wp:docPr id="11" name="Picture 11"/>
            <wp:cNvGraphicFramePr>
              <a:graphicFrameLocks noChangeAspect="1"/>
            </wp:cNvGraphicFramePr>
            <a:graphic>
              <a:graphicData uri="http://schemas.openxmlformats.org/drawingml/2006/picture">
                <pic:pic>
                  <pic:nvPicPr>
                    <pic:cNvPr id="0" name="d9.png"/>
                    <pic:cNvPicPr/>
                  </pic:nvPicPr>
                  <pic:blipFill>
                    <a:blip r:embed="rId21"/>
                    <a:stretch>
                      <a:fillRect/>
                    </a:stretch>
                  </pic:blipFill>
                  <pic:spPr>
                    <a:xfrm>
                      <a:off x="0" y="0"/>
                      <a:ext cx="6188400" cy="2095252"/>
                    </a:xfrm>
                    <a:prstGeom prst="rect"/>
                  </pic:spPr>
                </pic:pic>
              </a:graphicData>
            </a:graphic>
          </wp:inline>
        </w:drawing>
      </w:r>
    </w:p>
    <w:p>
      <w:pPr>
        <w:jc w:val="center"/>
      </w:pPr>
      <w:r>
        <w:drawing>
          <wp:inline xmlns:a="http://schemas.openxmlformats.org/drawingml/2006/main" xmlns:pic="http://schemas.openxmlformats.org/drawingml/2006/picture">
            <wp:extent cx="6188400" cy="177779"/>
            <wp:docPr id="12" name="Picture 12"/>
            <wp:cNvGraphicFramePr>
              <a:graphicFrameLocks noChangeAspect="1"/>
            </wp:cNvGraphicFramePr>
            <a:graphic>
              <a:graphicData uri="http://schemas.openxmlformats.org/drawingml/2006/picture">
                <pic:pic>
                  <pic:nvPicPr>
                    <pic:cNvPr id="0" name="d10.png"/>
                    <pic:cNvPicPr/>
                  </pic:nvPicPr>
                  <pic:blipFill>
                    <a:blip r:embed="rId22"/>
                    <a:stretch>
                      <a:fillRect/>
                    </a:stretch>
                  </pic:blipFill>
                  <pic:spPr>
                    <a:xfrm>
                      <a:off x="0" y="0"/>
                      <a:ext cx="6188400" cy="177779"/>
                    </a:xfrm>
                    <a:prstGeom prst="rect"/>
                  </pic:spPr>
                </pic:pic>
              </a:graphicData>
            </a:graphic>
          </wp:inline>
        </w:drawing>
      </w:r>
    </w:p>
    <w:p>
      <w:r>
        <w:br w:type="page"/>
      </w:r>
    </w:p>
    <w:p>
      <w:pPr>
        <w:pStyle w:val="Heading2"/>
      </w:pPr>
      <w:r>
        <w:rPr>
          <w:rFonts w:ascii="Calibri" w:hAnsi="Calibri" w:eastAsia="Calibri"/>
          <w:b/>
          <w:i w:val="0"/>
          <w:color w:val="173D4C"/>
          <w:sz w:val="24"/>
        </w:rPr>
        <w:t>Días con calidad del aire Buena o Aceptable por estación de CO</w:t>
      </w:r>
    </w:p>
    <w:p>
      <w:pPr>
        <w:spacing w:after="160"/>
        <w:jc w:val="both"/>
      </w:pPr>
      <w:r>
        <w:rPr>
          <w:rFonts w:ascii="Calibri" w:hAnsi="Calibri" w:eastAsia="Calibri"/>
          <w:b w:val="0"/>
          <w:i w:val="0"/>
          <w:color w:val="324D59"/>
          <w:sz w:val="22"/>
        </w:rPr>
        <w:t>Los mapas de la Figura 7 muestran, año por año, cuántos días tuvo cada estación de monitoreo con calidad del aire Buena o Aceptable según el Índice Aire y Salud (IAS), considerando únicamente el CO (máximo diario del promedio móvil de 8 horas). Cada burbuja está ubicada donde se encuentra la estación y su tamaño es proporcional a ese número de días: mientras más grande, más días con aire de buena o aceptable calidad. Así, los mapas permiten comparar tanto las zonas del AMG entre sí como la evolución de cada una de ellas entre 2019 y 2024, con la misma escala de tamaño en todos los años.</w:t>
      </w:r>
    </w:p>
    <w:p>
      <w:pPr>
        <w:spacing w:after="160"/>
        <w:jc w:val="both"/>
      </w:pPr>
      <w:r>
        <w:rPr>
          <w:rFonts w:ascii="Calibri" w:hAnsi="Calibri" w:eastAsia="Calibri"/>
          <w:b w:val="0"/>
          <w:i w:val="0"/>
          <w:color w:val="324D59"/>
          <w:sz w:val="22"/>
        </w:rPr>
        <w:t>Las burbujas con borde punteado corresponden a estaciones que no alcanzaron el 75% de días con dato en el año (por ejemplo, las que iniciaron operaciones o estuvieron fuera de servicio), por lo que su total no cubre el año completo y no es comparable con el de las demás. Los puntos grises indican estaciones sin datos en ese año.</w:t>
      </w:r>
    </w:p>
    <w:p>
      <w:pPr>
        <w:keepNext/>
        <w:spacing w:before="160"/>
      </w:pPr>
      <w:r>
        <w:rPr>
          <w:rFonts w:ascii="Calibri" w:hAnsi="Calibri" w:eastAsia="Calibri"/>
          <w:b/>
          <w:i w:val="0"/>
          <w:color w:val="173D4C"/>
          <w:sz w:val="19"/>
        </w:rPr>
        <w:t>Figura 7. Días con calidad del aire Buena o Aceptable por estación de CO, 2019–2024.</w:t>
      </w:r>
    </w:p>
    <w:p>
      <w:pPr>
        <w:jc w:val="center"/>
      </w:pPr>
      <w:r>
        <w:drawing>
          <wp:inline xmlns:a="http://schemas.openxmlformats.org/drawingml/2006/main" xmlns:pic="http://schemas.openxmlformats.org/drawingml/2006/picture">
            <wp:extent cx="6188400" cy="4354644"/>
            <wp:docPr id="13" name="Picture 13"/>
            <wp:cNvGraphicFramePr>
              <a:graphicFrameLocks noChangeAspect="1"/>
            </wp:cNvGraphicFramePr>
            <a:graphic>
              <a:graphicData uri="http://schemas.openxmlformats.org/drawingml/2006/picture">
                <pic:pic>
                  <pic:nvPicPr>
                    <pic:cNvPr id="0" name="d11.png"/>
                    <pic:cNvPicPr/>
                  </pic:nvPicPr>
                  <pic:blipFill>
                    <a:blip r:embed="rId23"/>
                    <a:stretch>
                      <a:fillRect/>
                    </a:stretch>
                  </pic:blipFill>
                  <pic:spPr>
                    <a:xfrm>
                      <a:off x="0" y="0"/>
                      <a:ext cx="6188400" cy="4354644"/>
                    </a:xfrm>
                    <a:prstGeom prst="rect"/>
                  </pic:spPr>
                </pic:pic>
              </a:graphicData>
            </a:graphic>
          </wp:inline>
        </w:drawing>
      </w:r>
    </w:p>
    <w:p>
      <w:pPr>
        <w:jc w:val="center"/>
      </w:pPr>
      <w:r>
        <w:drawing>
          <wp:inline xmlns:a="http://schemas.openxmlformats.org/drawingml/2006/main" xmlns:pic="http://schemas.openxmlformats.org/drawingml/2006/picture">
            <wp:extent cx="6188400" cy="330161"/>
            <wp:docPr id="14" name="Picture 14"/>
            <wp:cNvGraphicFramePr>
              <a:graphicFrameLocks noChangeAspect="1"/>
            </wp:cNvGraphicFramePr>
            <a:graphic>
              <a:graphicData uri="http://schemas.openxmlformats.org/drawingml/2006/picture">
                <pic:pic>
                  <pic:nvPicPr>
                    <pic:cNvPr id="0" name="d5.png"/>
                    <pic:cNvPicPr/>
                  </pic:nvPicPr>
                  <pic:blipFill>
                    <a:blip r:embed="rId17"/>
                    <a:stretch>
                      <a:fillRect/>
                    </a:stretch>
                  </pic:blipFill>
                  <pic:spPr>
                    <a:xfrm>
                      <a:off x="0" y="0"/>
                      <a:ext cx="6188400" cy="330161"/>
                    </a:xfrm>
                    <a:prstGeom prst="rect"/>
                  </pic:spPr>
                </pic:pic>
              </a:graphicData>
            </a:graphic>
          </wp:inline>
        </w:drawing>
      </w:r>
    </w:p>
    <w:p>
      <w:pPr>
        <w:spacing w:after="160"/>
        <w:jc w:val="both"/>
      </w:pPr>
      <w:r>
        <w:rPr>
          <w:rFonts w:ascii="Calibri" w:hAnsi="Calibri" w:eastAsia="Calibri"/>
          <w:b w:val="0"/>
          <w:i w:val="0"/>
          <w:color w:val="324D59"/>
          <w:sz w:val="22"/>
        </w:rPr>
        <w:t>En 2024, entre las estaciones con datos suficientes, las que acumularon más días con calidad Buena o Aceptable fueron Centro (CEN; 357 días), Miravalle (MIR; 347 días) y Loma Dorada (LDO; 345 días). Al comparar con 2023, de las tres estaciones con datos suficientes en ambos años, una aumentó sus días con calidad Buena o Aceptable y dos los disminuyeron. El mayor incremento se registró en Miravalle (MIR), con 32 días más, y la mayor disminución en Loma Dorada (LDO), con 17 días menos. En el periodo 2019–2024, el valor más alto lo registró Centro (CEN) en 2023, con 365 días. Considerando únicamente las estaciones con datos suficientes en cada año, el promedio fue mayor en 2024 (350 días por estación) y menor en 2021 (318 días), aunque las estaciones con datos suficientes no fueron las mismas cada año.</w:t>
      </w:r>
    </w:p>
    <w:p>
      <w:pPr>
        <w:spacing w:after="160"/>
        <w:jc w:val="both"/>
      </w:pPr>
      <w:r>
        <w:rPr>
          <w:rFonts w:ascii="Calibri" w:hAnsi="Calibri" w:eastAsia="Calibri"/>
          <w:b w:val="0"/>
          <w:i w:val="0"/>
          <w:color w:val="324D59"/>
          <w:sz w:val="22"/>
        </w:rPr>
        <w:t>Cabe señalar que, en todos los días con dato, el CO se mantuvo en categoría Buena o Aceptable: en ninguna estación se registraron días con categoría Mala o peor por este contaminante. Por lo tanto, las diferencias observadas entre estaciones reflejan principalmente la disponibilidad de mediciones a lo largo del año, y no diferencias reales en la calidad del aire.</w:t>
      </w:r>
    </w:p>
    <w:p>
      <w:r>
        <w:br w:type="page"/>
      </w:r>
    </w:p>
    <w:p>
      <w:pPr>
        <w:pStyle w:val="Heading1"/>
      </w:pPr>
      <w:r>
        <w:rPr>
          <w:rFonts w:ascii="Calibri" w:hAnsi="Calibri" w:eastAsia="Calibri"/>
          <w:b/>
          <w:i w:val="0"/>
          <w:color w:val="173D4C"/>
          <w:sz w:val="30"/>
        </w:rPr>
        <w:t>Ozono (O</w:t>
      </w:r>
      <w:r>
        <w:rPr>
          <w:rFonts w:ascii="Calibri" w:hAnsi="Calibri" w:eastAsia="Calibri"/>
          <w:b/>
          <w:i w:val="0"/>
          <w:color w:val="173D4C"/>
          <w:sz w:val="30"/>
          <w:vertAlign w:val="subscript"/>
        </w:rPr>
        <w:t>3</w:t>
      </w:r>
      <w:r>
        <w:rPr>
          <w:rFonts w:ascii="Calibri" w:hAnsi="Calibri" w:eastAsia="Calibri"/>
          <w:b/>
          <w:i w:val="0"/>
          <w:color w:val="173D4C"/>
          <w:sz w:val="30"/>
        </w:rPr>
        <w:t>)</w:t>
      </w:r>
    </w:p>
    <w:p>
      <w:pPr>
        <w:spacing w:after="160"/>
        <w:jc w:val="both"/>
      </w:pPr>
      <w:r>
        <w:rPr>
          <w:rFonts w:ascii="Calibri" w:hAnsi="Calibri" w:eastAsia="Calibri"/>
          <w:b w:val="0"/>
          <w:i w:val="0"/>
          <w:color w:val="324D59"/>
          <w:sz w:val="22"/>
        </w:rPr>
        <w:t>El ozono (O</w:t>
      </w:r>
      <w:r>
        <w:rPr>
          <w:rFonts w:ascii="Calibri" w:hAnsi="Calibri" w:eastAsia="Calibri"/>
          <w:b w:val="0"/>
          <w:i w:val="0"/>
          <w:color w:val="324D59"/>
          <w:sz w:val="22"/>
          <w:vertAlign w:val="subscript"/>
        </w:rPr>
        <w:t>3</w:t>
      </w:r>
      <w:r>
        <w:rPr>
          <w:rFonts w:ascii="Calibri" w:hAnsi="Calibri" w:eastAsia="Calibri"/>
          <w:b w:val="0"/>
          <w:i w:val="0"/>
          <w:color w:val="324D59"/>
          <w:sz w:val="22"/>
        </w:rPr>
        <w:t>) en la capa más baja de la atmósfera, es un contaminante secundario que se forma por una complicada serie de reacciones químicas y fotoquímicas entre emisiones primarias antropogénicas y naturales de sus precursores los óxidos de nitrógeno (NOx), compuestos orgánicos volátiles (COV) o hidrocarburos (HC) en presencia de la radiación solar, aunado a las condiciones geográficas, climatológicas y meteorológicas favorables para la ocurrencia de estas reacciones. Y que presenta un desequilibrio en la composición del aire.</w:t>
      </w:r>
    </w:p>
    <w:p>
      <w:pPr>
        <w:spacing w:after="160"/>
        <w:jc w:val="both"/>
      </w:pPr>
      <w:r>
        <w:rPr>
          <w:rFonts w:ascii="Calibri" w:hAnsi="Calibri" w:eastAsia="Calibri"/>
          <w:b w:val="0"/>
          <w:i w:val="0"/>
          <w:color w:val="324D59"/>
          <w:sz w:val="22"/>
        </w:rPr>
        <w:t>Las fuentes de emisión que genera el ozono ocurre naturalmente en la capa de ozono estratosférica (15 a 20 km snm). En la tropósfera, el ozono se forma cuando los COV y NOx, que vienen principalmente de emisiones vehiculares, reaccionan en presencia de la luz solar.</w:t>
      </w:r>
    </w:p>
    <w:p>
      <w:pPr>
        <w:spacing w:after="160"/>
        <w:jc w:val="both"/>
      </w:pPr>
      <w:r>
        <w:rPr>
          <w:rFonts w:ascii="Calibri" w:hAnsi="Calibri" w:eastAsia="Calibri"/>
          <w:b w:val="0"/>
          <w:i w:val="0"/>
          <w:color w:val="324D59"/>
          <w:sz w:val="22"/>
        </w:rPr>
        <w:t>Este contaminante puede tener efectos a la salud humana como las reducciones en la función pulmonar, síntomas respiratorios como tos, flemas y sibilancias, y el agravamiento del asma. Esto debido a sus características oxidantes a corto plazo, podemos sufrir de irritación de los tejidos sensibles de ojos y vías respiratorias, mientras que, a largo plazo, podemos padecer de daños en los tejidos pulmonares, reducción en la capacidad funcional pulmonar y enfermedades como asma e inclusive cáncer. Y cuya exposición crónica a este contaminante está directamente relacionada con el aumento de la morbilidad y mortalidad (SEMADET, 2019).</w:t>
      </w:r>
    </w:p>
    <w:p>
      <w:pPr>
        <w:spacing w:after="160"/>
        <w:jc w:val="both"/>
      </w:pPr>
      <w:r>
        <w:rPr>
          <w:rFonts w:ascii="Calibri" w:hAnsi="Calibri" w:eastAsia="Calibri"/>
          <w:b w:val="0"/>
          <w:i w:val="0"/>
          <w:color w:val="324D59"/>
          <w:sz w:val="22"/>
        </w:rPr>
        <w:t>Y lo que respecta al medio ambiente, este puede tener efectos en las plantas que son sensibles a sus altas concentraciones que generalmente producen clorosis (manchas amarillas en las partes verdes de una planta debido a la falta de actividad de sus cloroplastos) y necrosis (muerte de sus células de un tejido) en sus hojas. Su presencia también reduce la habilidad de las plantas de absorber dióxido de carbono (CO</w:t>
      </w:r>
      <w:r>
        <w:rPr>
          <w:rFonts w:ascii="Calibri" w:hAnsi="Calibri" w:eastAsia="Calibri"/>
          <w:b w:val="0"/>
          <w:i w:val="0"/>
          <w:color w:val="324D59"/>
          <w:sz w:val="22"/>
          <w:vertAlign w:val="subscript"/>
        </w:rPr>
        <w:t>2</w:t>
      </w:r>
      <w:r>
        <w:rPr>
          <w:rFonts w:ascii="Calibri" w:hAnsi="Calibri" w:eastAsia="Calibri"/>
          <w:b w:val="0"/>
          <w:i w:val="0"/>
          <w:color w:val="324D59"/>
          <w:sz w:val="22"/>
        </w:rPr>
        <w:t>) alterando su crecimiento y variedad. Además de esto, el O</w:t>
      </w:r>
      <w:r>
        <w:rPr>
          <w:rFonts w:ascii="Calibri" w:hAnsi="Calibri" w:eastAsia="Calibri"/>
          <w:b w:val="0"/>
          <w:i w:val="0"/>
          <w:color w:val="324D59"/>
          <w:sz w:val="22"/>
          <w:vertAlign w:val="subscript"/>
        </w:rPr>
        <w:t>3</w:t>
      </w:r>
      <w:r>
        <w:rPr>
          <w:rFonts w:ascii="Calibri" w:hAnsi="Calibri" w:eastAsia="Calibri"/>
          <w:b w:val="0"/>
          <w:i w:val="0"/>
          <w:color w:val="324D59"/>
          <w:sz w:val="22"/>
        </w:rPr>
        <w:t xml:space="preserve"> troposférico actúa como gas de efecto invernadero (GEI) atrapando el calor del sol y calentando la superficie de la tierra, lo que afecta directamente el clima de nuestro planeta (SEMADET, 2019). Además de efectos diversos a los materiales de los edificios.</w:t>
      </w:r>
    </w:p>
    <w:p>
      <w:pPr>
        <w:jc w:val="center"/>
      </w:pPr>
      <w:r>
        <w:drawing>
          <wp:inline xmlns:a="http://schemas.openxmlformats.org/drawingml/2006/main" xmlns:pic="http://schemas.openxmlformats.org/drawingml/2006/picture">
            <wp:extent cx="1574800" cy="1058333"/>
            <wp:docPr id="15" name="Picture 15"/>
            <wp:cNvGraphicFramePr>
              <a:graphicFrameLocks noChangeAspect="1"/>
            </wp:cNvGraphicFramePr>
            <a:graphic>
              <a:graphicData uri="http://schemas.openxmlformats.org/drawingml/2006/picture">
                <pic:pic>
                  <pic:nvPicPr>
                    <pic:cNvPr id="0" name="d13.png"/>
                    <pic:cNvPicPr/>
                  </pic:nvPicPr>
                  <pic:blipFill>
                    <a:blip r:embed="rId24"/>
                    <a:stretch>
                      <a:fillRect/>
                    </a:stretch>
                  </pic:blipFill>
                  <pic:spPr>
                    <a:xfrm>
                      <a:off x="0" y="0"/>
                      <a:ext cx="1574800" cy="1058333"/>
                    </a:xfrm>
                    <a:prstGeom prst="rect"/>
                  </pic:spPr>
                </pic:pic>
              </a:graphicData>
            </a:graphic>
          </wp:inline>
        </w:drawing>
      </w:r>
    </w:p>
    <w:p>
      <w:pPr>
        <w:pStyle w:val="Heading2"/>
      </w:pPr>
      <w:r>
        <w:rPr>
          <w:rFonts w:ascii="Calibri" w:hAnsi="Calibri" w:eastAsia="Calibri"/>
          <w:b/>
          <w:i w:val="0"/>
          <w:color w:val="173D4C"/>
          <w:sz w:val="24"/>
        </w:rPr>
        <w:t>Comportamiento horario mensual de O</w:t>
      </w:r>
      <w:r>
        <w:rPr>
          <w:rFonts w:ascii="Calibri" w:hAnsi="Calibri" w:eastAsia="Calibri"/>
          <w:b/>
          <w:i w:val="0"/>
          <w:color w:val="173D4C"/>
          <w:sz w:val="24"/>
          <w:vertAlign w:val="subscript"/>
        </w:rPr>
        <w:t>3</w:t>
      </w:r>
      <w:r>
        <w:rPr>
          <w:rFonts w:ascii="Calibri" w:hAnsi="Calibri" w:eastAsia="Calibri"/>
          <w:b/>
          <w:i w:val="0"/>
          <w:color w:val="173D4C"/>
          <w:sz w:val="24"/>
        </w:rPr>
        <w:t xml:space="preserve"> en el AMG</w:t>
      </w:r>
    </w:p>
    <w:p>
      <w:pPr>
        <w:spacing w:after="160"/>
        <w:jc w:val="both"/>
      </w:pPr>
      <w:r>
        <w:rPr>
          <w:rFonts w:ascii="Calibri" w:hAnsi="Calibri" w:eastAsia="Calibri"/>
          <w:b w:val="0"/>
          <w:i w:val="0"/>
          <w:color w:val="324D59"/>
          <w:sz w:val="22"/>
        </w:rPr>
        <w:t>Para cada hora del año se toma la concentración máxima de O</w:t>
      </w:r>
      <w:r>
        <w:rPr>
          <w:rFonts w:ascii="Calibri" w:hAnsi="Calibri" w:eastAsia="Calibri"/>
          <w:b w:val="0"/>
          <w:i w:val="0"/>
          <w:color w:val="324D59"/>
          <w:sz w:val="22"/>
          <w:vertAlign w:val="subscript"/>
        </w:rPr>
        <w:t>3</w:t>
      </w:r>
      <w:r>
        <w:rPr>
          <w:rFonts w:ascii="Calibri" w:hAnsi="Calibri" w:eastAsia="Calibri"/>
          <w:b w:val="0"/>
          <w:i w:val="0"/>
          <w:color w:val="324D59"/>
          <w:sz w:val="22"/>
        </w:rPr>
        <w:t xml:space="preserve"> entre las estaciones de la red, que representa al AMG, y se promedia por hora del día dentro de cada mes (se exigen al menos 6 días con dato por hora y que el AMG tenga dato en al menos 75% de las horas del mes). En los meses con dato, la concentración promedio es mayor hacia las 14 h y menor hacia las 7 h, un patrón consistente con su formación fotoquímica, que requiere radiación solar y por eso se intensifica en las horas de mayor insolación. El mes con la concentración promedio más alta fue mayo (0.056 ppm). El promedio horario más alto del AMG, 0.092 ppm en mayo a las 12 h, ya rebasa el límite horario de la NOM (0.090 ppm).</w:t>
      </w:r>
    </w:p>
    <w:p>
      <w:pPr>
        <w:keepNext/>
        <w:spacing w:before="160"/>
      </w:pPr>
      <w:r>
        <w:rPr>
          <w:rFonts w:ascii="Calibri" w:hAnsi="Calibri" w:eastAsia="Calibri"/>
          <w:b/>
          <w:i w:val="0"/>
          <w:color w:val="173D4C"/>
          <w:sz w:val="19"/>
        </w:rPr>
        <w:t>Figura 8. Concentración promedio horaria de O</w:t>
      </w:r>
      <w:r>
        <w:rPr>
          <w:rFonts w:ascii="Calibri" w:hAnsi="Calibri" w:eastAsia="Calibri"/>
          <w:b/>
          <w:i w:val="0"/>
          <w:color w:val="173D4C"/>
          <w:sz w:val="19"/>
          <w:vertAlign w:val="subscript"/>
        </w:rPr>
        <w:t>3</w:t>
      </w:r>
      <w:r>
        <w:rPr>
          <w:rFonts w:ascii="Calibri" w:hAnsi="Calibri" w:eastAsia="Calibri"/>
          <w:b/>
          <w:i w:val="0"/>
          <w:color w:val="173D4C"/>
          <w:sz w:val="19"/>
        </w:rPr>
        <w:t xml:space="preserve"> en el AMG, encadenada por mes, 2024.</w:t>
      </w:r>
    </w:p>
    <w:p>
      <w:pPr>
        <w:jc w:val="center"/>
      </w:pPr>
      <w:r>
        <w:drawing>
          <wp:inline xmlns:a="http://schemas.openxmlformats.org/drawingml/2006/main" xmlns:pic="http://schemas.openxmlformats.org/drawingml/2006/picture">
            <wp:extent cx="6188400" cy="2539699"/>
            <wp:docPr id="16" name="Picture 16"/>
            <wp:cNvGraphicFramePr>
              <a:graphicFrameLocks noChangeAspect="1"/>
            </wp:cNvGraphicFramePr>
            <a:graphic>
              <a:graphicData uri="http://schemas.openxmlformats.org/drawingml/2006/picture">
                <pic:pic>
                  <pic:nvPicPr>
                    <pic:cNvPr id="0" name="d14.png"/>
                    <pic:cNvPicPr/>
                  </pic:nvPicPr>
                  <pic:blipFill>
                    <a:blip r:embed="rId25"/>
                    <a:stretch>
                      <a:fillRect/>
                    </a:stretch>
                  </pic:blipFill>
                  <pic:spPr>
                    <a:xfrm>
                      <a:off x="0" y="0"/>
                      <a:ext cx="6188400" cy="2539699"/>
                    </a:xfrm>
                    <a:prstGeom prst="rect"/>
                  </pic:spPr>
                </pic:pic>
              </a:graphicData>
            </a:graphic>
          </wp:inline>
        </w:drawing>
      </w:r>
    </w:p>
    <w:p>
      <w:pPr>
        <w:pStyle w:val="Heading2"/>
      </w:pPr>
      <w:r>
        <w:rPr>
          <w:rFonts w:ascii="Calibri" w:hAnsi="Calibri" w:eastAsia="Calibri"/>
          <w:b/>
          <w:i w:val="0"/>
          <w:color w:val="173D4C"/>
          <w:sz w:val="24"/>
        </w:rPr>
        <w:t>Distribución horaria mensual de O</w:t>
      </w:r>
      <w:r>
        <w:rPr>
          <w:rFonts w:ascii="Calibri" w:hAnsi="Calibri" w:eastAsia="Calibri"/>
          <w:b/>
          <w:i w:val="0"/>
          <w:color w:val="173D4C"/>
          <w:sz w:val="24"/>
          <w:vertAlign w:val="subscript"/>
        </w:rPr>
        <w:t>3</w:t>
      </w:r>
      <w:r>
        <w:rPr>
          <w:rFonts w:ascii="Calibri" w:hAnsi="Calibri" w:eastAsia="Calibri"/>
          <w:b/>
          <w:i w:val="0"/>
          <w:color w:val="173D4C"/>
          <w:sz w:val="24"/>
        </w:rPr>
        <w:t xml:space="preserve"> en el AMG</w:t>
      </w:r>
    </w:p>
    <w:p>
      <w:pPr>
        <w:spacing w:after="160"/>
        <w:jc w:val="both"/>
      </w:pPr>
      <w:r>
        <w:rPr>
          <w:rFonts w:ascii="Calibri" w:hAnsi="Calibri" w:eastAsia="Calibri"/>
          <w:b w:val="0"/>
          <w:i w:val="0"/>
          <w:color w:val="324D59"/>
          <w:sz w:val="22"/>
        </w:rPr>
        <w:t>La Figura 9 muestra, para cada mes de 2024, la distribución de las concentraciones horarias de O</w:t>
      </w:r>
      <w:r>
        <w:rPr>
          <w:rFonts w:ascii="Calibri" w:hAnsi="Calibri" w:eastAsia="Calibri"/>
          <w:b w:val="0"/>
          <w:i w:val="0"/>
          <w:color w:val="324D59"/>
          <w:sz w:val="22"/>
          <w:vertAlign w:val="subscript"/>
        </w:rPr>
        <w:t>3</w:t>
      </w:r>
      <w:r>
        <w:rPr>
          <w:rFonts w:ascii="Calibri" w:hAnsi="Calibri" w:eastAsia="Calibri"/>
          <w:b w:val="0"/>
          <w:i w:val="0"/>
          <w:color w:val="324D59"/>
          <w:sz w:val="22"/>
        </w:rPr>
        <w:t xml:space="preserve"> en el AMG (valor horario; en cada hora se toma el valor más alto entre las estaciones). El contorno del violín indica qué tan frecuentes son los distintos valores; la caja abarca del primer al tercer cuartil, la línea blanca es la mediana y el punto blanco, la media. Solo se grafican los meses con al menos 75% de sus horas con dato. Sobre cada violín se indica la clave de la estación que registró el valor más alto de ese mes. El valor más alto del año, 0.169 ppm, superó el límite horario de la NOM (0.090 ppm).</w:t>
      </w:r>
    </w:p>
    <w:p>
      <w:pPr>
        <w:keepNext/>
        <w:spacing w:before="160"/>
      </w:pPr>
      <w:r>
        <w:rPr>
          <w:rFonts w:ascii="Calibri" w:hAnsi="Calibri" w:eastAsia="Calibri"/>
          <w:b/>
          <w:i w:val="0"/>
          <w:color w:val="173D4C"/>
          <w:sz w:val="19"/>
        </w:rPr>
        <w:t>Figura 9. Distribución horaria mensual de O</w:t>
      </w:r>
      <w:r>
        <w:rPr>
          <w:rFonts w:ascii="Calibri" w:hAnsi="Calibri" w:eastAsia="Calibri"/>
          <w:b/>
          <w:i w:val="0"/>
          <w:color w:val="173D4C"/>
          <w:sz w:val="19"/>
          <w:vertAlign w:val="subscript"/>
        </w:rPr>
        <w:t>3</w:t>
      </w:r>
      <w:r>
        <w:rPr>
          <w:rFonts w:ascii="Calibri" w:hAnsi="Calibri" w:eastAsia="Calibri"/>
          <w:b/>
          <w:i w:val="0"/>
          <w:color w:val="173D4C"/>
          <w:sz w:val="19"/>
        </w:rPr>
        <w:t xml:space="preserve"> (valor horario) en el AMG, 2024.</w:t>
      </w:r>
    </w:p>
    <w:p>
      <w:pPr>
        <w:jc w:val="center"/>
      </w:pPr>
      <w:r>
        <w:drawing>
          <wp:inline xmlns:a="http://schemas.openxmlformats.org/drawingml/2006/main" xmlns:pic="http://schemas.openxmlformats.org/drawingml/2006/picture">
            <wp:extent cx="6188400" cy="2095252"/>
            <wp:docPr id="17" name="Picture 17"/>
            <wp:cNvGraphicFramePr>
              <a:graphicFrameLocks noChangeAspect="1"/>
            </wp:cNvGraphicFramePr>
            <a:graphic>
              <a:graphicData uri="http://schemas.openxmlformats.org/drawingml/2006/picture">
                <pic:pic>
                  <pic:nvPicPr>
                    <pic:cNvPr id="0" name="d15.png"/>
                    <pic:cNvPicPr/>
                  </pic:nvPicPr>
                  <pic:blipFill>
                    <a:blip r:embed="rId26"/>
                    <a:stretch>
                      <a:fillRect/>
                    </a:stretch>
                  </pic:blipFill>
                  <pic:spPr>
                    <a:xfrm>
                      <a:off x="0" y="0"/>
                      <a:ext cx="6188400" cy="2095252"/>
                    </a:xfrm>
                    <a:prstGeom prst="rect"/>
                  </pic:spPr>
                </pic:pic>
              </a:graphicData>
            </a:graphic>
          </wp:inline>
        </w:drawing>
      </w:r>
    </w:p>
    <w:p>
      <w:pPr>
        <w:jc w:val="center"/>
      </w:pPr>
      <w:r>
        <w:drawing>
          <wp:inline xmlns:a="http://schemas.openxmlformats.org/drawingml/2006/main" xmlns:pic="http://schemas.openxmlformats.org/drawingml/2006/picture">
            <wp:extent cx="6188400" cy="177779"/>
            <wp:docPr id="18" name="Picture 18"/>
            <wp:cNvGraphicFramePr>
              <a:graphicFrameLocks noChangeAspect="1"/>
            </wp:cNvGraphicFramePr>
            <a:graphic>
              <a:graphicData uri="http://schemas.openxmlformats.org/drawingml/2006/picture">
                <pic:pic>
                  <pic:nvPicPr>
                    <pic:cNvPr id="0" name="d16.png"/>
                    <pic:cNvPicPr/>
                  </pic:nvPicPr>
                  <pic:blipFill>
                    <a:blip r:embed="rId27"/>
                    <a:stretch>
                      <a:fillRect/>
                    </a:stretch>
                  </pic:blipFill>
                  <pic:spPr>
                    <a:xfrm>
                      <a:off x="0" y="0"/>
                      <a:ext cx="6188400" cy="177779"/>
                    </a:xfrm>
                    <a:prstGeom prst="rect"/>
                  </pic:spPr>
                </pic:pic>
              </a:graphicData>
            </a:graphic>
          </wp:inline>
        </w:drawing>
      </w:r>
    </w:p>
    <w:p>
      <w:pPr>
        <w:spacing w:after="160"/>
        <w:jc w:val="both"/>
      </w:pPr>
      <w:r>
        <w:rPr>
          <w:rFonts w:ascii="Calibri" w:hAnsi="Calibri" w:eastAsia="Calibri"/>
          <w:b w:val="0"/>
          <w:i w:val="0"/>
          <w:color w:val="324D59"/>
          <w:sz w:val="22"/>
        </w:rPr>
        <w:t>La mediana horaria de O</w:t>
      </w:r>
      <w:r>
        <w:rPr>
          <w:rFonts w:ascii="Calibri" w:hAnsi="Calibri" w:eastAsia="Calibri"/>
          <w:b w:val="0"/>
          <w:i w:val="0"/>
          <w:color w:val="324D59"/>
          <w:sz w:val="22"/>
          <w:vertAlign w:val="subscript"/>
        </w:rPr>
        <w:t>3</w:t>
      </w:r>
      <w:r>
        <w:rPr>
          <w:rFonts w:ascii="Calibri" w:hAnsi="Calibri" w:eastAsia="Calibri"/>
          <w:b w:val="0"/>
          <w:i w:val="0"/>
          <w:color w:val="324D59"/>
          <w:sz w:val="22"/>
        </w:rPr>
        <w:t xml:space="preserve"> en el AMG alcanza su valor más alto en mayo (0.052 ppm) y el más bajo en enero (0.024 ppm). Febrero, por su parte, presenta la mayor variabilidad entre horas, con la caja más ancha del año (0.036 ppm). En cuanto al límite horario de la NOM (0.090 ppm), este se rebasa en al menos una hora durante todos los meses con dato, y el valor máximo del año, 0.169 ppm, se registra en febrero.</w:t>
      </w:r>
    </w:p>
    <w:p>
      <w:pPr>
        <w:pStyle w:val="Heading2"/>
      </w:pPr>
      <w:r>
        <w:rPr>
          <w:rFonts w:ascii="Calibri" w:hAnsi="Calibri" w:eastAsia="Calibri"/>
          <w:b/>
          <w:i w:val="0"/>
          <w:color w:val="173D4C"/>
          <w:sz w:val="24"/>
        </w:rPr>
        <w:t>Días con calidad del aire Buena o Aceptable por estación de O</w:t>
      </w:r>
      <w:r>
        <w:rPr>
          <w:rFonts w:ascii="Calibri" w:hAnsi="Calibri" w:eastAsia="Calibri"/>
          <w:b/>
          <w:i w:val="0"/>
          <w:color w:val="173D4C"/>
          <w:sz w:val="24"/>
          <w:vertAlign w:val="subscript"/>
        </w:rPr>
        <w:t>3</w:t>
      </w:r>
    </w:p>
    <w:p>
      <w:pPr>
        <w:spacing w:after="160"/>
        <w:jc w:val="both"/>
      </w:pPr>
      <w:r>
        <w:rPr>
          <w:rFonts w:ascii="Calibri" w:hAnsi="Calibri" w:eastAsia="Calibri"/>
          <w:b w:val="0"/>
          <w:i w:val="0"/>
          <w:color w:val="324D59"/>
          <w:sz w:val="22"/>
        </w:rPr>
        <w:t>Los mapas de la Figura 10 muestran, año por año, cuántos días tuvo cada estación de monitoreo con calidad del aire Buena o Aceptable según el Índice Aire y Salud (IAS), considerando únicamente el O</w:t>
      </w:r>
      <w:r>
        <w:rPr>
          <w:rFonts w:ascii="Calibri" w:hAnsi="Calibri" w:eastAsia="Calibri"/>
          <w:b w:val="0"/>
          <w:i w:val="0"/>
          <w:color w:val="324D59"/>
          <w:sz w:val="22"/>
          <w:vertAlign w:val="subscript"/>
        </w:rPr>
        <w:t>3</w:t>
      </w:r>
      <w:r>
        <w:rPr>
          <w:rFonts w:ascii="Calibri" w:hAnsi="Calibri" w:eastAsia="Calibri"/>
          <w:b w:val="0"/>
          <w:i w:val="0"/>
          <w:color w:val="324D59"/>
          <w:sz w:val="22"/>
        </w:rPr>
        <w:t xml:space="preserve"> (máximo horario del día). Cada burbuja está ubicada donde se encuentra la estación y su tamaño es proporcional a ese número de días: mientras más grande, más días con aire de buena o aceptable calidad. Así, los mapas permiten comparar tanto las zonas del AMG entre sí como la evolución de cada una de ellas entre 2019 y 2024, con la misma escala de tamaño en todos los años.</w:t>
      </w:r>
    </w:p>
    <w:p>
      <w:pPr>
        <w:spacing w:after="160"/>
        <w:jc w:val="both"/>
      </w:pPr>
      <w:r>
        <w:rPr>
          <w:rFonts w:ascii="Calibri" w:hAnsi="Calibri" w:eastAsia="Calibri"/>
          <w:b w:val="0"/>
          <w:i w:val="0"/>
          <w:color w:val="324D59"/>
          <w:sz w:val="22"/>
        </w:rPr>
        <w:t>Las burbujas con borde punteado corresponden a estaciones que no alcanzaron el 75% de días con dato en el año (por ejemplo, las que iniciaron operaciones o estuvieron fuera de servicio), por lo que su total no cubre el año completo y no es comparable con el de las demás. Los puntos grises indican estaciones sin datos en ese año.</w:t>
      </w:r>
    </w:p>
    <w:p>
      <w:pPr>
        <w:keepNext/>
        <w:spacing w:before="160"/>
      </w:pPr>
      <w:r>
        <w:rPr>
          <w:rFonts w:ascii="Calibri" w:hAnsi="Calibri" w:eastAsia="Calibri"/>
          <w:b/>
          <w:i w:val="0"/>
          <w:color w:val="173D4C"/>
          <w:sz w:val="19"/>
        </w:rPr>
        <w:t>Figura 10. Días con calidad del aire Buena o Aceptable por estación de O</w:t>
      </w:r>
      <w:r>
        <w:rPr>
          <w:rFonts w:ascii="Calibri" w:hAnsi="Calibri" w:eastAsia="Calibri"/>
          <w:b/>
          <w:i w:val="0"/>
          <w:color w:val="173D4C"/>
          <w:sz w:val="19"/>
          <w:vertAlign w:val="subscript"/>
        </w:rPr>
        <w:t>3</w:t>
      </w:r>
      <w:r>
        <w:rPr>
          <w:rFonts w:ascii="Calibri" w:hAnsi="Calibri" w:eastAsia="Calibri"/>
          <w:b/>
          <w:i w:val="0"/>
          <w:color w:val="173D4C"/>
          <w:sz w:val="19"/>
        </w:rPr>
        <w:t>, 2019–2024.</w:t>
      </w:r>
    </w:p>
    <w:p>
      <w:pPr>
        <w:jc w:val="center"/>
      </w:pPr>
      <w:r>
        <w:drawing>
          <wp:inline xmlns:a="http://schemas.openxmlformats.org/drawingml/2006/main" xmlns:pic="http://schemas.openxmlformats.org/drawingml/2006/picture">
            <wp:extent cx="6188400" cy="4354644"/>
            <wp:docPr id="19" name="Picture 19"/>
            <wp:cNvGraphicFramePr>
              <a:graphicFrameLocks noChangeAspect="1"/>
            </wp:cNvGraphicFramePr>
            <a:graphic>
              <a:graphicData uri="http://schemas.openxmlformats.org/drawingml/2006/picture">
                <pic:pic>
                  <pic:nvPicPr>
                    <pic:cNvPr id="0" name="d17.png"/>
                    <pic:cNvPicPr/>
                  </pic:nvPicPr>
                  <pic:blipFill>
                    <a:blip r:embed="rId28"/>
                    <a:stretch>
                      <a:fillRect/>
                    </a:stretch>
                  </pic:blipFill>
                  <pic:spPr>
                    <a:xfrm>
                      <a:off x="0" y="0"/>
                      <a:ext cx="6188400" cy="4354644"/>
                    </a:xfrm>
                    <a:prstGeom prst="rect"/>
                  </pic:spPr>
                </pic:pic>
              </a:graphicData>
            </a:graphic>
          </wp:inline>
        </w:drawing>
      </w:r>
    </w:p>
    <w:p>
      <w:pPr>
        <w:jc w:val="center"/>
      </w:pPr>
      <w:r>
        <w:drawing>
          <wp:inline xmlns:a="http://schemas.openxmlformats.org/drawingml/2006/main" xmlns:pic="http://schemas.openxmlformats.org/drawingml/2006/picture">
            <wp:extent cx="6188400" cy="330161"/>
            <wp:docPr id="20" name="Picture 20"/>
            <wp:cNvGraphicFramePr>
              <a:graphicFrameLocks noChangeAspect="1"/>
            </wp:cNvGraphicFramePr>
            <a:graphic>
              <a:graphicData uri="http://schemas.openxmlformats.org/drawingml/2006/picture">
                <pic:pic>
                  <pic:nvPicPr>
                    <pic:cNvPr id="0" name="d5.png"/>
                    <pic:cNvPicPr/>
                  </pic:nvPicPr>
                  <pic:blipFill>
                    <a:blip r:embed="rId17"/>
                    <a:stretch>
                      <a:fillRect/>
                    </a:stretch>
                  </pic:blipFill>
                  <pic:spPr>
                    <a:xfrm>
                      <a:off x="0" y="0"/>
                      <a:ext cx="6188400" cy="330161"/>
                    </a:xfrm>
                    <a:prstGeom prst="rect"/>
                  </pic:spPr>
                </pic:pic>
              </a:graphicData>
            </a:graphic>
          </wp:inline>
        </w:drawing>
      </w:r>
    </w:p>
    <w:p>
      <w:pPr>
        <w:spacing w:after="160"/>
        <w:jc w:val="both"/>
      </w:pPr>
      <w:r>
        <w:rPr>
          <w:rFonts w:ascii="Calibri" w:hAnsi="Calibri" w:eastAsia="Calibri"/>
          <w:b w:val="0"/>
          <w:i w:val="0"/>
          <w:color w:val="324D59"/>
          <w:sz w:val="22"/>
        </w:rPr>
        <w:t>En 2024, entre las estaciones con datos suficientes, las que acumularon más días con calidad Buena o Aceptable fueron Pintas (PIN; 320 días), Loma Dorada (LDO; 313 días) y Miravalle (MIR; 303 días), mientras que Vallarta (VAL) registró el menor número (263 días). Por su parte, Atemajac (ATM), Oblatos (OBL), Santa Fe (SFE) y Tlaquepaque (TLA) presentan datos parciales, pues no alcanzaron el 75% de días con dato del año, por lo que sus cifras no son comparables con las de las demás; a ellas se suman Country (COU), Santa Anita (SAN) y Santa Margarita (SMT), que se incorporaron a la red en septiembre de 2024 y, por lo tanto, tampoco alcanzaron a acumular un año completo de operación (96 a 225 días).</w:t>
      </w:r>
    </w:p>
    <w:p>
      <w:pPr>
        <w:spacing w:after="160"/>
        <w:jc w:val="both"/>
      </w:pPr>
      <w:r>
        <w:rPr>
          <w:rFonts w:ascii="Calibri" w:hAnsi="Calibri" w:eastAsia="Calibri"/>
          <w:b w:val="0"/>
          <w:i w:val="0"/>
          <w:color w:val="324D59"/>
          <w:sz w:val="22"/>
        </w:rPr>
        <w:t>Al comparar con 2023, de las cuatro estaciones con datos suficientes en ambos años, tres aumentaron sus días con calidad Buena o Aceptable y una los disminuyó. El mayor incremento se registró en Loma Dorada (LDO), con 57 días más, y la mayor disminución en Centro (CEN), con 10 días menos.</w:t>
      </w:r>
    </w:p>
    <w:p>
      <w:pPr>
        <w:spacing w:after="160"/>
        <w:jc w:val="both"/>
      </w:pPr>
      <w:r>
        <w:rPr>
          <w:rFonts w:ascii="Calibri" w:hAnsi="Calibri" w:eastAsia="Calibri"/>
          <w:b w:val="0"/>
          <w:i w:val="0"/>
          <w:color w:val="324D59"/>
          <w:sz w:val="22"/>
        </w:rPr>
        <w:t>En el periodo 2019–2024, el valor más alto lo registró Oblatos (OBL) en 2019, con 341 días. Considerando únicamente las estaciones con datos suficientes en cada año, el promedio fue mayor en 2020 (299 días por estación) y menor en 2023 (282 días), aunque las estaciones con datos suficientes no fueron las mismas cada año. Pintas (PIN) fue la estación con menos días en tres de los seis años.</w:t>
      </w:r>
    </w:p>
    <w:p>
      <w:r>
        <w:br w:type="page"/>
      </w:r>
    </w:p>
    <w:p>
      <w:pPr>
        <w:pStyle w:val="Heading1"/>
      </w:pPr>
      <w:r>
        <w:rPr>
          <w:rFonts w:ascii="Calibri" w:hAnsi="Calibri" w:eastAsia="Calibri"/>
          <w:b/>
          <w:i w:val="0"/>
          <w:color w:val="173D4C"/>
          <w:sz w:val="30"/>
        </w:rPr>
        <w:t>Partículas suspendidas</w:t>
      </w:r>
    </w:p>
    <w:p>
      <w:pPr>
        <w:spacing w:after="160"/>
        <w:jc w:val="both"/>
      </w:pPr>
      <w:r>
        <w:rPr>
          <w:rFonts w:ascii="Calibri" w:hAnsi="Calibri" w:eastAsia="Calibri"/>
          <w:b w:val="0"/>
          <w:i w:val="0"/>
          <w:color w:val="324D59"/>
          <w:sz w:val="22"/>
        </w:rPr>
        <w:t>Las partículas suspendidas son partículas sólidas o líquidas microscópicas que se encuentran en el aire, estas flotan en diversas áreas, estas provienen de fuentes naturales como el polvo o el polen y por fuentes antropogénicas como los vehículos y las actividades de las industrias. Estas se originan debido a la desintegración de fragmentos de materia. Este tipo de partículas se clasifican por su tamaño: las gruesas (PM</w:t>
      </w:r>
      <w:r>
        <w:rPr>
          <w:rFonts w:ascii="Calibri" w:hAnsi="Calibri" w:eastAsia="Calibri"/>
          <w:b w:val="0"/>
          <w:i w:val="0"/>
          <w:color w:val="324D59"/>
          <w:sz w:val="22"/>
          <w:vertAlign w:val="subscript"/>
        </w:rPr>
        <w:t>10</w:t>
      </w:r>
      <w:r>
        <w:rPr>
          <w:rFonts w:ascii="Calibri" w:hAnsi="Calibri" w:eastAsia="Calibri"/>
          <w:b w:val="0"/>
          <w:i w:val="0"/>
          <w:color w:val="324D59"/>
          <w:sz w:val="22"/>
        </w:rPr>
        <w:t>), las finas (PM</w:t>
      </w:r>
      <w:r>
        <w:rPr>
          <w:rFonts w:ascii="Calibri" w:hAnsi="Calibri" w:eastAsia="Calibri"/>
          <w:b w:val="0"/>
          <w:i w:val="0"/>
          <w:color w:val="324D59"/>
          <w:sz w:val="22"/>
          <w:vertAlign w:val="subscript"/>
        </w:rPr>
        <w:t>2.5</w:t>
      </w:r>
      <w:r>
        <w:rPr>
          <w:rFonts w:ascii="Calibri" w:hAnsi="Calibri" w:eastAsia="Calibri"/>
          <w:b w:val="0"/>
          <w:i w:val="0"/>
          <w:color w:val="324D59"/>
          <w:sz w:val="22"/>
        </w:rPr>
        <w:t>) y las ultrafinas (PM</w:t>
      </w:r>
      <w:r>
        <w:rPr>
          <w:rFonts w:ascii="Calibri" w:hAnsi="Calibri" w:eastAsia="Calibri"/>
          <w:b w:val="0"/>
          <w:i w:val="0"/>
          <w:color w:val="324D59"/>
          <w:sz w:val="22"/>
          <w:vertAlign w:val="subscript"/>
        </w:rPr>
        <w:t>0.1</w:t>
      </w:r>
      <w:r>
        <w:rPr>
          <w:rFonts w:ascii="Calibri" w:hAnsi="Calibri" w:eastAsia="Calibri"/>
          <w:b w:val="0"/>
          <w:i w:val="0"/>
          <w:color w:val="324D59"/>
          <w:sz w:val="22"/>
        </w:rPr>
        <w:t>), pero en el Sistema de Monitoreo Atmosférico de Jalisco (SIMAJ) solo se monitorean las PM</w:t>
      </w:r>
      <w:r>
        <w:rPr>
          <w:rFonts w:ascii="Calibri" w:hAnsi="Calibri" w:eastAsia="Calibri"/>
          <w:b w:val="0"/>
          <w:i w:val="0"/>
          <w:color w:val="324D59"/>
          <w:sz w:val="22"/>
          <w:vertAlign w:val="subscript"/>
        </w:rPr>
        <w:t>10</w:t>
      </w:r>
      <w:r>
        <w:rPr>
          <w:rFonts w:ascii="Calibri" w:hAnsi="Calibri" w:eastAsia="Calibri"/>
          <w:b w:val="0"/>
          <w:i w:val="0"/>
          <w:color w:val="324D59"/>
          <w:sz w:val="22"/>
        </w:rPr>
        <w:t xml:space="preserve"> y las PM</w:t>
      </w:r>
      <w:r>
        <w:rPr>
          <w:rFonts w:ascii="Calibri" w:hAnsi="Calibri" w:eastAsia="Calibri"/>
          <w:b w:val="0"/>
          <w:i w:val="0"/>
          <w:color w:val="324D59"/>
          <w:sz w:val="22"/>
          <w:vertAlign w:val="subscript"/>
        </w:rPr>
        <w:t>2.5</w:t>
      </w:r>
      <w:r>
        <w:rPr>
          <w:rFonts w:ascii="Calibri" w:hAnsi="Calibri" w:eastAsia="Calibri"/>
          <w:b w:val="0"/>
          <w:i w:val="0"/>
          <w:color w:val="324D59"/>
          <w:sz w:val="22"/>
        </w:rPr>
        <w:t>.</w:t>
      </w:r>
    </w:p>
    <w:p>
      <w:pPr>
        <w:spacing w:after="160"/>
        <w:jc w:val="both"/>
      </w:pPr>
      <w:r>
        <w:rPr>
          <w:rFonts w:ascii="Calibri" w:hAnsi="Calibri" w:eastAsia="Calibri"/>
          <w:b w:val="0"/>
          <w:i w:val="0"/>
          <w:color w:val="324D59"/>
          <w:sz w:val="22"/>
        </w:rPr>
        <w:t>Su composición puede ser de origen mineral u orgánico incluyendo metales, sulfatos, nitratos, carbón y compuestos orgánicos volátiles. El tiempo de permanencia de las partículas en suspensión se obtiene de diversos factores, la mayor parte de las partículas de diámetro superior a 10 μm se mantienen en el aire por medio de fuertes corrientes convectivas ascendentes o vientos de cierta velocidad mientras que las partículas más pequeñas tienen interacciones en procesos de coagulación por colisión con otro tipo de partículas y la relación de los factores meteorológicos como la temperatura o la humedad relativa pueden cambiar su comportamiento y su tamaño.</w:t>
      </w:r>
    </w:p>
    <w:p>
      <w:pPr>
        <w:pStyle w:val="Heading1"/>
      </w:pPr>
      <w:r>
        <w:rPr>
          <w:rFonts w:ascii="Calibri" w:hAnsi="Calibri" w:eastAsia="Calibri"/>
          <w:b/>
          <w:i w:val="0"/>
          <w:color w:val="173D4C"/>
          <w:sz w:val="30"/>
        </w:rPr>
        <w:t>PM</w:t>
      </w:r>
      <w:r>
        <w:rPr>
          <w:rFonts w:ascii="Calibri" w:hAnsi="Calibri" w:eastAsia="Calibri"/>
          <w:b/>
          <w:i w:val="0"/>
          <w:color w:val="173D4C"/>
          <w:sz w:val="30"/>
          <w:vertAlign w:val="subscript"/>
        </w:rPr>
        <w:t>10</w:t>
      </w:r>
    </w:p>
    <w:p>
      <w:pPr>
        <w:spacing w:after="160"/>
        <w:jc w:val="both"/>
      </w:pPr>
      <w:r>
        <w:rPr>
          <w:rFonts w:ascii="Calibri" w:hAnsi="Calibri" w:eastAsia="Calibri"/>
          <w:b w:val="0"/>
          <w:i w:val="0"/>
          <w:color w:val="324D59"/>
          <w:sz w:val="22"/>
        </w:rPr>
        <w:t>El material particulado es una mezcla de sustancias en estado líquido o sólido, que permanece suspendida en la atmósfera por periodos variables de tiempo, que tiene muchas clasificaciones, las más comunes son por su origen y tamaño, estas pueden contener polvo, polen, hollín y sales.</w:t>
      </w:r>
    </w:p>
    <w:p>
      <w:pPr>
        <w:spacing w:after="160"/>
        <w:jc w:val="both"/>
      </w:pPr>
      <w:r>
        <w:rPr>
          <w:rFonts w:ascii="Calibri" w:hAnsi="Calibri" w:eastAsia="Calibri"/>
          <w:b w:val="0"/>
          <w:i w:val="0"/>
          <w:color w:val="324D59"/>
          <w:sz w:val="22"/>
        </w:rPr>
        <w:t>Un cabello humano promedio tiene un diámetro de 50 a 70 µm, lo que hace a las partículas PM</w:t>
      </w:r>
      <w:r>
        <w:rPr>
          <w:rFonts w:ascii="Calibri" w:hAnsi="Calibri" w:eastAsia="Calibri"/>
          <w:b w:val="0"/>
          <w:i w:val="0"/>
          <w:color w:val="324D59"/>
          <w:sz w:val="22"/>
          <w:vertAlign w:val="subscript"/>
        </w:rPr>
        <w:t>10</w:t>
      </w:r>
      <w:r>
        <w:rPr>
          <w:rFonts w:ascii="Calibri" w:hAnsi="Calibri" w:eastAsia="Calibri"/>
          <w:b w:val="0"/>
          <w:i w:val="0"/>
          <w:color w:val="324D59"/>
          <w:sz w:val="22"/>
        </w:rPr>
        <w:t xml:space="preserve"> significativamente más pequeñas.</w:t>
      </w:r>
    </w:p>
    <w:p>
      <w:pPr>
        <w:spacing w:after="160"/>
        <w:jc w:val="both"/>
      </w:pPr>
      <w:r>
        <w:rPr>
          <w:rFonts w:ascii="Calibri" w:hAnsi="Calibri" w:eastAsia="Calibri"/>
          <w:b w:val="0"/>
          <w:i w:val="0"/>
          <w:color w:val="324D59"/>
          <w:sz w:val="22"/>
        </w:rPr>
        <w:t>El tamaño de las partículas, tiene la capacidad de penetración y retención en las vías respiratorias, afectando a los pulmones siendo un factor importante para daños específicos a la salud, principalmente a la región de los alveolos, causando enfermedades de asma e infecciones de vías respiratorias (NOM-025-SSA1-2014 - Secretaría de Salud, 2014).</w:t>
      </w:r>
    </w:p>
    <w:p>
      <w:pPr>
        <w:spacing w:after="160"/>
        <w:jc w:val="both"/>
      </w:pPr>
      <w:r>
        <w:rPr>
          <w:rFonts w:ascii="Calibri" w:hAnsi="Calibri" w:eastAsia="Calibri"/>
          <w:b w:val="0"/>
          <w:i w:val="0"/>
          <w:color w:val="324D59"/>
          <w:sz w:val="22"/>
        </w:rPr>
        <w:t>Los efectos hacia el medio ambiente de las partículas PM</w:t>
      </w:r>
      <w:r>
        <w:rPr>
          <w:rFonts w:ascii="Calibri" w:hAnsi="Calibri" w:eastAsia="Calibri"/>
          <w:b w:val="0"/>
          <w:i w:val="0"/>
          <w:color w:val="324D59"/>
          <w:sz w:val="22"/>
          <w:vertAlign w:val="subscript"/>
        </w:rPr>
        <w:t>10</w:t>
      </w:r>
      <w:r>
        <w:rPr>
          <w:rFonts w:ascii="Calibri" w:hAnsi="Calibri" w:eastAsia="Calibri"/>
          <w:b w:val="0"/>
          <w:i w:val="0"/>
          <w:color w:val="324D59"/>
          <w:sz w:val="22"/>
        </w:rPr>
        <w:t xml:space="preserve"> provocan un impacto negativo al medio ambiente, causando corrosión de materiales, degradación de bosques, disminución visual (INECC &amp; SEMARNAT, 2011).</w:t>
      </w:r>
    </w:p>
    <w:p>
      <w:pPr>
        <w:pStyle w:val="Heading2"/>
      </w:pPr>
      <w:r>
        <w:rPr>
          <w:rFonts w:ascii="Calibri" w:hAnsi="Calibri" w:eastAsia="Calibri"/>
          <w:b/>
          <w:i w:val="0"/>
          <w:color w:val="173D4C"/>
          <w:sz w:val="24"/>
        </w:rPr>
        <w:t>Comportamiento horario mensual de PM</w:t>
      </w:r>
      <w:r>
        <w:rPr>
          <w:rFonts w:ascii="Calibri" w:hAnsi="Calibri" w:eastAsia="Calibri"/>
          <w:b/>
          <w:i w:val="0"/>
          <w:color w:val="173D4C"/>
          <w:sz w:val="24"/>
          <w:vertAlign w:val="subscript"/>
        </w:rPr>
        <w:t>10</w:t>
      </w:r>
      <w:r>
        <w:rPr>
          <w:rFonts w:ascii="Calibri" w:hAnsi="Calibri" w:eastAsia="Calibri"/>
          <w:b/>
          <w:i w:val="0"/>
          <w:color w:val="173D4C"/>
          <w:sz w:val="24"/>
        </w:rPr>
        <w:t xml:space="preserve"> en el AMG</w:t>
      </w:r>
    </w:p>
    <w:p>
      <w:pPr>
        <w:spacing w:after="160"/>
        <w:jc w:val="both"/>
      </w:pPr>
      <w:r>
        <w:rPr>
          <w:rFonts w:ascii="Calibri" w:hAnsi="Calibri" w:eastAsia="Calibri"/>
          <w:b w:val="0"/>
          <w:i w:val="0"/>
          <w:color w:val="324D59"/>
          <w:sz w:val="22"/>
        </w:rPr>
        <w:t>Para cada hora del año se toma la concentración máxima de PM</w:t>
      </w:r>
      <w:r>
        <w:rPr>
          <w:rFonts w:ascii="Calibri" w:hAnsi="Calibri" w:eastAsia="Calibri"/>
          <w:b w:val="0"/>
          <w:i w:val="0"/>
          <w:color w:val="324D59"/>
          <w:sz w:val="22"/>
          <w:vertAlign w:val="subscript"/>
        </w:rPr>
        <w:t>10</w:t>
      </w:r>
      <w:r>
        <w:rPr>
          <w:rFonts w:ascii="Calibri" w:hAnsi="Calibri" w:eastAsia="Calibri"/>
          <w:b w:val="0"/>
          <w:i w:val="0"/>
          <w:color w:val="324D59"/>
          <w:sz w:val="22"/>
        </w:rPr>
        <w:t xml:space="preserve"> entre las estaciones de la red, que representa al AMG, y se promedia por hora del día dentro de cada mes (se exigen al menos 6 días con dato por hora y que el AMG tenga dato en al menos 75% de las horas del mes). En los meses con dato, la concentración promedio es mayor hacia las 8 h y menor hacia las 14 h, un patrón que suele asociarse con la actividad vehicular y con la menor dispersión atmosférica de las primeras horas de la mañana y de la noche. El mes con la concentración promedio más alta fue diciembre (202 µg/m³). En ese mismo mes se registra el pico horario más alto del año (304 µg/m³ a las 23 h).</w:t>
      </w:r>
    </w:p>
    <w:p>
      <w:pPr>
        <w:keepNext/>
        <w:spacing w:before="160"/>
      </w:pPr>
      <w:r>
        <w:rPr>
          <w:rFonts w:ascii="Calibri" w:hAnsi="Calibri" w:eastAsia="Calibri"/>
          <w:b/>
          <w:i w:val="0"/>
          <w:color w:val="173D4C"/>
          <w:sz w:val="19"/>
        </w:rPr>
        <w:t>Figura 11. Concentración promedio horaria de PM</w:t>
      </w:r>
      <w:r>
        <w:rPr>
          <w:rFonts w:ascii="Calibri" w:hAnsi="Calibri" w:eastAsia="Calibri"/>
          <w:b/>
          <w:i w:val="0"/>
          <w:color w:val="173D4C"/>
          <w:sz w:val="19"/>
          <w:vertAlign w:val="subscript"/>
        </w:rPr>
        <w:t>10</w:t>
      </w:r>
      <w:r>
        <w:rPr>
          <w:rFonts w:ascii="Calibri" w:hAnsi="Calibri" w:eastAsia="Calibri"/>
          <w:b/>
          <w:i w:val="0"/>
          <w:color w:val="173D4C"/>
          <w:sz w:val="19"/>
        </w:rPr>
        <w:t xml:space="preserve"> en el AMG, encadenada por mes, 2024.</w:t>
      </w:r>
    </w:p>
    <w:p>
      <w:pPr>
        <w:jc w:val="center"/>
      </w:pPr>
      <w:r>
        <w:drawing>
          <wp:inline xmlns:a="http://schemas.openxmlformats.org/drawingml/2006/main" xmlns:pic="http://schemas.openxmlformats.org/drawingml/2006/picture">
            <wp:extent cx="6188400" cy="2539699"/>
            <wp:docPr id="21" name="Picture 21"/>
            <wp:cNvGraphicFramePr>
              <a:graphicFrameLocks noChangeAspect="1"/>
            </wp:cNvGraphicFramePr>
            <a:graphic>
              <a:graphicData uri="http://schemas.openxmlformats.org/drawingml/2006/picture">
                <pic:pic>
                  <pic:nvPicPr>
                    <pic:cNvPr id="0" name="d19.png"/>
                    <pic:cNvPicPr/>
                  </pic:nvPicPr>
                  <pic:blipFill>
                    <a:blip r:embed="rId29"/>
                    <a:stretch>
                      <a:fillRect/>
                    </a:stretch>
                  </pic:blipFill>
                  <pic:spPr>
                    <a:xfrm>
                      <a:off x="0" y="0"/>
                      <a:ext cx="6188400" cy="2539699"/>
                    </a:xfrm>
                    <a:prstGeom prst="rect"/>
                  </pic:spPr>
                </pic:pic>
              </a:graphicData>
            </a:graphic>
          </wp:inline>
        </w:drawing>
      </w:r>
    </w:p>
    <w:p>
      <w:r>
        <w:br w:type="page"/>
      </w:r>
    </w:p>
    <w:p>
      <w:pPr>
        <w:pStyle w:val="Heading2"/>
      </w:pPr>
      <w:r>
        <w:rPr>
          <w:rFonts w:ascii="Calibri" w:hAnsi="Calibri" w:eastAsia="Calibri"/>
          <w:b/>
          <w:i w:val="0"/>
          <w:color w:val="173D4C"/>
          <w:sz w:val="24"/>
        </w:rPr>
        <w:t>Distribución horaria mensual de PM</w:t>
      </w:r>
      <w:r>
        <w:rPr>
          <w:rFonts w:ascii="Calibri" w:hAnsi="Calibri" w:eastAsia="Calibri"/>
          <w:b/>
          <w:i w:val="0"/>
          <w:color w:val="173D4C"/>
          <w:sz w:val="24"/>
          <w:vertAlign w:val="subscript"/>
        </w:rPr>
        <w:t>10</w:t>
      </w:r>
      <w:r>
        <w:rPr>
          <w:rFonts w:ascii="Calibri" w:hAnsi="Calibri" w:eastAsia="Calibri"/>
          <w:b/>
          <w:i w:val="0"/>
          <w:color w:val="173D4C"/>
          <w:sz w:val="24"/>
        </w:rPr>
        <w:t xml:space="preserve"> en el AMG</w:t>
      </w:r>
    </w:p>
    <w:p>
      <w:pPr>
        <w:spacing w:after="160"/>
        <w:jc w:val="both"/>
      </w:pPr>
      <w:r>
        <w:rPr>
          <w:rFonts w:ascii="Calibri" w:hAnsi="Calibri" w:eastAsia="Calibri"/>
          <w:b w:val="0"/>
          <w:i w:val="0"/>
          <w:color w:val="324D59"/>
          <w:sz w:val="22"/>
        </w:rPr>
        <w:t>La Figura 12 muestra, para cada mes de 2024, la distribución de las concentraciones horarias de PM</w:t>
      </w:r>
      <w:r>
        <w:rPr>
          <w:rFonts w:ascii="Calibri" w:hAnsi="Calibri" w:eastAsia="Calibri"/>
          <w:b w:val="0"/>
          <w:i w:val="0"/>
          <w:color w:val="324D59"/>
          <w:sz w:val="22"/>
          <w:vertAlign w:val="subscript"/>
        </w:rPr>
        <w:t>10</w:t>
      </w:r>
      <w:r>
        <w:rPr>
          <w:rFonts w:ascii="Calibri" w:hAnsi="Calibri" w:eastAsia="Calibri"/>
          <w:b w:val="0"/>
          <w:i w:val="0"/>
          <w:color w:val="324D59"/>
          <w:sz w:val="22"/>
        </w:rPr>
        <w:t xml:space="preserve"> en el AMG (promedio móvil de 24 horas; en cada hora se toma el valor más alto entre las estaciones). El contorno del violín indica qué tan frecuentes son los distintos valores; la caja abarca del primer al tercer cuartil, la línea blanca es la mediana y el punto blanco, la media. Solo se grafican los meses con al menos 75% de sus horas con dato. Sobre cada violín se indica la clave de la estación que registró el valor más alto de ese mes. El valor más alto del año, 318 µg/m³, superó el límite de 24 horas de la NOM (60 µg/m³).</w:t>
      </w:r>
    </w:p>
    <w:p>
      <w:pPr>
        <w:keepNext/>
        <w:spacing w:before="160"/>
      </w:pPr>
      <w:r>
        <w:rPr>
          <w:rFonts w:ascii="Calibri" w:hAnsi="Calibri" w:eastAsia="Calibri"/>
          <w:b/>
          <w:i w:val="0"/>
          <w:color w:val="173D4C"/>
          <w:sz w:val="19"/>
        </w:rPr>
        <w:t>Figura 12. Distribución horaria mensual de PM</w:t>
      </w:r>
      <w:r>
        <w:rPr>
          <w:rFonts w:ascii="Calibri" w:hAnsi="Calibri" w:eastAsia="Calibri"/>
          <w:b/>
          <w:i w:val="0"/>
          <w:color w:val="173D4C"/>
          <w:sz w:val="19"/>
          <w:vertAlign w:val="subscript"/>
        </w:rPr>
        <w:t>10</w:t>
      </w:r>
      <w:r>
        <w:rPr>
          <w:rFonts w:ascii="Calibri" w:hAnsi="Calibri" w:eastAsia="Calibri"/>
          <w:b/>
          <w:i w:val="0"/>
          <w:color w:val="173D4C"/>
          <w:sz w:val="19"/>
        </w:rPr>
        <w:t xml:space="preserve"> (promedio móvil de 24 horas) en el AMG, 2024.</w:t>
      </w:r>
    </w:p>
    <w:p>
      <w:pPr>
        <w:jc w:val="center"/>
      </w:pPr>
      <w:r>
        <w:drawing>
          <wp:inline xmlns:a="http://schemas.openxmlformats.org/drawingml/2006/main" xmlns:pic="http://schemas.openxmlformats.org/drawingml/2006/picture">
            <wp:extent cx="6188400" cy="2095252"/>
            <wp:docPr id="22" name="Picture 22"/>
            <wp:cNvGraphicFramePr>
              <a:graphicFrameLocks noChangeAspect="1"/>
            </wp:cNvGraphicFramePr>
            <a:graphic>
              <a:graphicData uri="http://schemas.openxmlformats.org/drawingml/2006/picture">
                <pic:pic>
                  <pic:nvPicPr>
                    <pic:cNvPr id="0" name="d20.png"/>
                    <pic:cNvPicPr/>
                  </pic:nvPicPr>
                  <pic:blipFill>
                    <a:blip r:embed="rId30"/>
                    <a:stretch>
                      <a:fillRect/>
                    </a:stretch>
                  </pic:blipFill>
                  <pic:spPr>
                    <a:xfrm>
                      <a:off x="0" y="0"/>
                      <a:ext cx="6188400" cy="2095252"/>
                    </a:xfrm>
                    <a:prstGeom prst="rect"/>
                  </pic:spPr>
                </pic:pic>
              </a:graphicData>
            </a:graphic>
          </wp:inline>
        </w:drawing>
      </w:r>
    </w:p>
    <w:p>
      <w:pPr>
        <w:jc w:val="center"/>
      </w:pPr>
      <w:r>
        <w:drawing>
          <wp:inline xmlns:a="http://schemas.openxmlformats.org/drawingml/2006/main" xmlns:pic="http://schemas.openxmlformats.org/drawingml/2006/picture">
            <wp:extent cx="6188400" cy="163057"/>
            <wp:docPr id="23" name="Picture 23"/>
            <wp:cNvGraphicFramePr>
              <a:graphicFrameLocks noChangeAspect="1"/>
            </wp:cNvGraphicFramePr>
            <a:graphic>
              <a:graphicData uri="http://schemas.openxmlformats.org/drawingml/2006/picture">
                <pic:pic>
                  <pic:nvPicPr>
                    <pic:cNvPr id="0" name="d21.png"/>
                    <pic:cNvPicPr/>
                  </pic:nvPicPr>
                  <pic:blipFill>
                    <a:blip r:embed="rId31"/>
                    <a:stretch>
                      <a:fillRect/>
                    </a:stretch>
                  </pic:blipFill>
                  <pic:spPr>
                    <a:xfrm>
                      <a:off x="0" y="0"/>
                      <a:ext cx="6188400" cy="163057"/>
                    </a:xfrm>
                    <a:prstGeom prst="rect"/>
                  </pic:spPr>
                </pic:pic>
              </a:graphicData>
            </a:graphic>
          </wp:inline>
        </w:drawing>
      </w:r>
    </w:p>
    <w:p>
      <w:pPr>
        <w:spacing w:after="160"/>
        <w:jc w:val="both"/>
      </w:pPr>
      <w:r>
        <w:rPr>
          <w:rFonts w:ascii="Calibri" w:hAnsi="Calibri" w:eastAsia="Calibri"/>
          <w:b w:val="0"/>
          <w:i w:val="0"/>
          <w:color w:val="324D59"/>
          <w:sz w:val="22"/>
        </w:rPr>
        <w:t>Las concentraciones de PM</w:t>
      </w:r>
      <w:r>
        <w:rPr>
          <w:rFonts w:ascii="Calibri" w:hAnsi="Calibri" w:eastAsia="Calibri"/>
          <w:b w:val="0"/>
          <w:i w:val="0"/>
          <w:color w:val="324D59"/>
          <w:sz w:val="22"/>
          <w:vertAlign w:val="subscript"/>
        </w:rPr>
        <w:t>10</w:t>
      </w:r>
      <w:r>
        <w:rPr>
          <w:rFonts w:ascii="Calibri" w:hAnsi="Calibri" w:eastAsia="Calibri"/>
          <w:b w:val="0"/>
          <w:i w:val="0"/>
          <w:color w:val="324D59"/>
          <w:sz w:val="22"/>
        </w:rPr>
        <w:t xml:space="preserve"> en el AMG alcanzan su punto más alto en diciembre, con una mediana de 214 µg/m³, y su punto más bajo en julio, con 43 µg/m³. Diciembre también es el mes más variable: durante ese periodo, las concentraciones horarias fluctúan más que en cualquier otro mes del año (rango de 89 µg/m³).</w:t>
      </w:r>
    </w:p>
    <w:p>
      <w:pPr>
        <w:spacing w:after="160"/>
        <w:jc w:val="both"/>
      </w:pPr>
      <w:r>
        <w:rPr>
          <w:rFonts w:ascii="Calibri" w:hAnsi="Calibri" w:eastAsia="Calibri"/>
          <w:b w:val="0"/>
          <w:i w:val="0"/>
          <w:color w:val="324D59"/>
          <w:sz w:val="22"/>
        </w:rPr>
        <w:t>En cuanto al límite permitido por la norma (NOM), que es de 60 µg/m³ en 24 horas, este se superó en al menos una hora durante todos los meses con datos disponibles. El valor más alto de todo el año se registró en diciembre, con 318 µg/m³ — más de 5 veces el límite establecido.</w:t>
      </w:r>
    </w:p>
    <w:p>
      <w:r>
        <w:br w:type="page"/>
      </w:r>
    </w:p>
    <w:p>
      <w:pPr>
        <w:pStyle w:val="Heading2"/>
      </w:pPr>
      <w:r>
        <w:rPr>
          <w:rFonts w:ascii="Calibri" w:hAnsi="Calibri" w:eastAsia="Calibri"/>
          <w:b/>
          <w:i w:val="0"/>
          <w:color w:val="173D4C"/>
          <w:sz w:val="24"/>
        </w:rPr>
        <w:t>Días con calidad del aire Buena o Aceptable por estación de PM</w:t>
      </w:r>
      <w:r>
        <w:rPr>
          <w:rFonts w:ascii="Calibri" w:hAnsi="Calibri" w:eastAsia="Calibri"/>
          <w:b/>
          <w:i w:val="0"/>
          <w:color w:val="173D4C"/>
          <w:sz w:val="24"/>
          <w:vertAlign w:val="subscript"/>
        </w:rPr>
        <w:t>10</w:t>
      </w:r>
    </w:p>
    <w:p>
      <w:pPr>
        <w:spacing w:after="160"/>
        <w:jc w:val="both"/>
      </w:pPr>
      <w:r>
        <w:rPr>
          <w:rFonts w:ascii="Calibri" w:hAnsi="Calibri" w:eastAsia="Calibri"/>
          <w:b w:val="0"/>
          <w:i w:val="0"/>
          <w:color w:val="324D59"/>
          <w:sz w:val="22"/>
        </w:rPr>
        <w:t>Los mapas de la Figura 13 muestran, año por año, cuántos días tuvo cada estación de monitoreo con calidad del aire Buena o Aceptable según el Índice Aire y Salud (IAS), considerando únicamente el PM</w:t>
      </w:r>
      <w:r>
        <w:rPr>
          <w:rFonts w:ascii="Calibri" w:hAnsi="Calibri" w:eastAsia="Calibri"/>
          <w:b w:val="0"/>
          <w:i w:val="0"/>
          <w:color w:val="324D59"/>
          <w:sz w:val="22"/>
          <w:vertAlign w:val="subscript"/>
        </w:rPr>
        <w:t>10</w:t>
      </w:r>
      <w:r>
        <w:rPr>
          <w:rFonts w:ascii="Calibri" w:hAnsi="Calibri" w:eastAsia="Calibri"/>
          <w:b w:val="0"/>
          <w:i w:val="0"/>
          <w:color w:val="324D59"/>
          <w:sz w:val="22"/>
        </w:rPr>
        <w:t xml:space="preserve"> (promedio diario de 24 horas). Cada burbuja está ubicada donde se encuentra la estación y su tamaño es proporcional a ese número de días: mientras más grande, más días con aire de buena o aceptable calidad. Así, los mapas permiten comparar tanto las zonas del AMG entre sí como la evolución de cada una de ellas entre 2019 y 2024, con la misma escala de tamaño en todos los años.</w:t>
      </w:r>
    </w:p>
    <w:p>
      <w:pPr>
        <w:spacing w:after="160"/>
        <w:jc w:val="both"/>
      </w:pPr>
      <w:r>
        <w:rPr>
          <w:rFonts w:ascii="Calibri" w:hAnsi="Calibri" w:eastAsia="Calibri"/>
          <w:b w:val="0"/>
          <w:i w:val="0"/>
          <w:color w:val="324D59"/>
          <w:sz w:val="22"/>
        </w:rPr>
        <w:t>Las burbujas con borde punteado corresponden a estaciones que no alcanzaron el 75% de días con dato en el año (por ejemplo, las que iniciaron operaciones o estuvieron fuera de servicio), por lo que su total no cubre el año completo y no es comparable con el de las demás. Los puntos grises indican estaciones sin datos en ese año.</w:t>
      </w:r>
    </w:p>
    <w:p>
      <w:pPr>
        <w:keepNext/>
        <w:spacing w:before="160"/>
      </w:pPr>
      <w:r>
        <w:rPr>
          <w:rFonts w:ascii="Calibri" w:hAnsi="Calibri" w:eastAsia="Calibri"/>
          <w:b/>
          <w:i w:val="0"/>
          <w:color w:val="173D4C"/>
          <w:sz w:val="19"/>
        </w:rPr>
        <w:t>Figura 13. Días con calidad del aire Buena o Aceptable por estación de PM</w:t>
      </w:r>
      <w:r>
        <w:rPr>
          <w:rFonts w:ascii="Calibri" w:hAnsi="Calibri" w:eastAsia="Calibri"/>
          <w:b/>
          <w:i w:val="0"/>
          <w:color w:val="173D4C"/>
          <w:sz w:val="19"/>
          <w:vertAlign w:val="subscript"/>
        </w:rPr>
        <w:t>10</w:t>
      </w:r>
      <w:r>
        <w:rPr>
          <w:rFonts w:ascii="Calibri" w:hAnsi="Calibri" w:eastAsia="Calibri"/>
          <w:b/>
          <w:i w:val="0"/>
          <w:color w:val="173D4C"/>
          <w:sz w:val="19"/>
        </w:rPr>
        <w:t>, 2019–2024.</w:t>
      </w:r>
    </w:p>
    <w:p>
      <w:pPr>
        <w:jc w:val="center"/>
      </w:pPr>
      <w:r>
        <w:drawing>
          <wp:inline xmlns:a="http://schemas.openxmlformats.org/drawingml/2006/main" xmlns:pic="http://schemas.openxmlformats.org/drawingml/2006/picture">
            <wp:extent cx="6188400" cy="4354644"/>
            <wp:docPr id="24" name="Picture 24"/>
            <wp:cNvGraphicFramePr>
              <a:graphicFrameLocks noChangeAspect="1"/>
            </wp:cNvGraphicFramePr>
            <a:graphic>
              <a:graphicData uri="http://schemas.openxmlformats.org/drawingml/2006/picture">
                <pic:pic>
                  <pic:nvPicPr>
                    <pic:cNvPr id="0" name="d22.png"/>
                    <pic:cNvPicPr/>
                  </pic:nvPicPr>
                  <pic:blipFill>
                    <a:blip r:embed="rId32"/>
                    <a:stretch>
                      <a:fillRect/>
                    </a:stretch>
                  </pic:blipFill>
                  <pic:spPr>
                    <a:xfrm>
                      <a:off x="0" y="0"/>
                      <a:ext cx="6188400" cy="4354644"/>
                    </a:xfrm>
                    <a:prstGeom prst="rect"/>
                  </pic:spPr>
                </pic:pic>
              </a:graphicData>
            </a:graphic>
          </wp:inline>
        </w:drawing>
      </w:r>
    </w:p>
    <w:p>
      <w:pPr>
        <w:jc w:val="center"/>
      </w:pPr>
      <w:r>
        <w:drawing>
          <wp:inline xmlns:a="http://schemas.openxmlformats.org/drawingml/2006/main" xmlns:pic="http://schemas.openxmlformats.org/drawingml/2006/picture">
            <wp:extent cx="6188400" cy="330161"/>
            <wp:docPr id="25" name="Picture 25"/>
            <wp:cNvGraphicFramePr>
              <a:graphicFrameLocks noChangeAspect="1"/>
            </wp:cNvGraphicFramePr>
            <a:graphic>
              <a:graphicData uri="http://schemas.openxmlformats.org/drawingml/2006/picture">
                <pic:pic>
                  <pic:nvPicPr>
                    <pic:cNvPr id="0" name="d5.png"/>
                    <pic:cNvPicPr/>
                  </pic:nvPicPr>
                  <pic:blipFill>
                    <a:blip r:embed="rId17"/>
                    <a:stretch>
                      <a:fillRect/>
                    </a:stretch>
                  </pic:blipFill>
                  <pic:spPr>
                    <a:xfrm>
                      <a:off x="0" y="0"/>
                      <a:ext cx="6188400" cy="330161"/>
                    </a:xfrm>
                    <a:prstGeom prst="rect"/>
                  </pic:spPr>
                </pic:pic>
              </a:graphicData>
            </a:graphic>
          </wp:inline>
        </w:drawing>
      </w:r>
    </w:p>
    <w:p>
      <w:pPr>
        <w:spacing w:after="160"/>
        <w:jc w:val="both"/>
      </w:pPr>
      <w:r>
        <w:rPr>
          <w:rFonts w:ascii="Calibri" w:hAnsi="Calibri" w:eastAsia="Calibri"/>
          <w:b w:val="0"/>
          <w:i w:val="0"/>
          <w:color w:val="324D59"/>
          <w:sz w:val="22"/>
        </w:rPr>
        <w:t>En 2024, entre las estaciones con datos suficientes, Vallarta (VAL; 287 días), Águilas (AGU; 267 días) y Tlaquepaque (TLA; 254 días) fueron las que acumularon más días con calidad Buena o Aceptable, mientras que Pintas (PIN) registró el menor número (114 días). Por su parte, Atemajac (ATM), Oblatos (OBL) y Santa Fe (SFE) presentan datos parciales, pues no alcanzaron el 75% de días con dato del año, por lo que sus cifras no son comparables con las de las demás; a ellas se suman Country (COU), Santa Anita (SAN) y Santa Margarita (SMT), que se incorporaron a la red en septiembre de 2024 y, por lo tanto, tampoco alcanzaron a acumular un año completo de operación (46 a 117 días).</w:t>
      </w:r>
    </w:p>
    <w:p>
      <w:pPr>
        <w:spacing w:after="160"/>
        <w:jc w:val="both"/>
      </w:pPr>
      <w:r>
        <w:rPr>
          <w:rFonts w:ascii="Calibri" w:hAnsi="Calibri" w:eastAsia="Calibri"/>
          <w:b w:val="0"/>
          <w:i w:val="0"/>
          <w:color w:val="324D59"/>
          <w:sz w:val="22"/>
        </w:rPr>
        <w:t>Respecto a 2023, de las cinco estaciones con datos suficientes en ambos años, tres aumentaron sus días con calidad Buena o Aceptable y dos los disminuyeron. El mayor incremento se dio en Tlaquepaque (TLA, +89 días) y la mayor disminución en Pintas (PIN, -13 días). En el periodo 2019–2024, el valor más alto lo registró Atemajac (ATM) en 2019, con 319 días. Considerando solo las estaciones con datos suficientes en cada año, el promedio fue mayor en 2019 (233 días) y menor en 2022 (158 días); cabe notar que Pintas (PIN) fue la estación con menos días en todos los años con datos suficientes.</w:t>
      </w:r>
    </w:p>
    <w:p>
      <w:r>
        <w:br w:type="page"/>
      </w:r>
    </w:p>
    <w:p>
      <w:pPr>
        <w:pStyle w:val="Heading1"/>
      </w:pPr>
      <w:r>
        <w:rPr>
          <w:rFonts w:ascii="Calibri" w:hAnsi="Calibri" w:eastAsia="Calibri"/>
          <w:b/>
          <w:i w:val="0"/>
          <w:color w:val="173D4C"/>
          <w:sz w:val="30"/>
        </w:rPr>
        <w:t>PM</w:t>
      </w:r>
      <w:r>
        <w:rPr>
          <w:rFonts w:ascii="Calibri" w:hAnsi="Calibri" w:eastAsia="Calibri"/>
          <w:b/>
          <w:i w:val="0"/>
          <w:color w:val="173D4C"/>
          <w:sz w:val="30"/>
          <w:vertAlign w:val="subscript"/>
        </w:rPr>
        <w:t>2.5</w:t>
      </w:r>
    </w:p>
    <w:p>
      <w:pPr>
        <w:spacing w:after="160"/>
        <w:jc w:val="both"/>
      </w:pPr>
      <w:r>
        <w:rPr>
          <w:rFonts w:ascii="Calibri" w:hAnsi="Calibri" w:eastAsia="Calibri"/>
          <w:b w:val="0"/>
          <w:i w:val="0"/>
          <w:color w:val="324D59"/>
          <w:sz w:val="22"/>
        </w:rPr>
        <w:t>El material particulado con un diámetro de 2.5 micrómetros son partículas extremadamente finas que provienen de fuentes naturales y/o fuentes antropogénicas, estas partículas suelen ser conocidas también como partículas “respirables” debido a que pueden ser inhaladas profundamente en los pulmones, entrar al torrente sanguíneo e incluso al cerebro lo cual se puede asociar con enfermedades cardiovasculares, respiratorias, y muerte prematura.</w:t>
      </w:r>
    </w:p>
    <w:p>
      <w:pPr>
        <w:spacing w:after="160"/>
        <w:jc w:val="both"/>
      </w:pPr>
      <w:r>
        <w:rPr>
          <w:rFonts w:ascii="Calibri" w:hAnsi="Calibri" w:eastAsia="Calibri"/>
          <w:b w:val="0"/>
          <w:i w:val="0"/>
          <w:color w:val="324D59"/>
          <w:sz w:val="22"/>
        </w:rPr>
        <w:t>Sus fuentes antropogénicas son los automóviles, calentadores domésticos, termoeléctricas, etc., y sus fuentes naturales incluyen los incendios y la resuspensión del polvo. Las partículas pueden ser emitidas directamente de la fuente, o formarse en la atmósfera.</w:t>
      </w:r>
    </w:p>
    <w:p>
      <w:pPr>
        <w:spacing w:after="160"/>
        <w:jc w:val="both"/>
      </w:pPr>
      <w:r>
        <w:rPr>
          <w:rFonts w:ascii="Calibri" w:hAnsi="Calibri" w:eastAsia="Calibri"/>
          <w:b w:val="0"/>
          <w:i w:val="0"/>
          <w:color w:val="324D59"/>
          <w:sz w:val="22"/>
        </w:rPr>
        <w:t>Las partículas finas (PM</w:t>
      </w:r>
      <w:r>
        <w:rPr>
          <w:rFonts w:ascii="Calibri" w:hAnsi="Calibri" w:eastAsia="Calibri"/>
          <w:b w:val="0"/>
          <w:i w:val="0"/>
          <w:color w:val="324D59"/>
          <w:sz w:val="22"/>
          <w:vertAlign w:val="subscript"/>
        </w:rPr>
        <w:t>2.5</w:t>
      </w:r>
      <w:r>
        <w:rPr>
          <w:rFonts w:ascii="Calibri" w:hAnsi="Calibri" w:eastAsia="Calibri"/>
          <w:b w:val="0"/>
          <w:i w:val="0"/>
          <w:color w:val="324D59"/>
          <w:sz w:val="22"/>
        </w:rPr>
        <w:t>) son la causa principal de visibilidad reducida (bruma), así como a través del viento se pueden transportar las partículas a través de largas distancias y luego, estas pueden instalarse en el suelo o el agua.</w:t>
      </w:r>
    </w:p>
    <w:p>
      <w:pPr>
        <w:pStyle w:val="Heading2"/>
      </w:pPr>
      <w:r>
        <w:rPr>
          <w:rFonts w:ascii="Calibri" w:hAnsi="Calibri" w:eastAsia="Calibri"/>
          <w:b/>
          <w:i w:val="0"/>
          <w:color w:val="173D4C"/>
          <w:sz w:val="24"/>
        </w:rPr>
        <w:t>Comportamiento horario mensual de PM</w:t>
      </w:r>
      <w:r>
        <w:rPr>
          <w:rFonts w:ascii="Calibri" w:hAnsi="Calibri" w:eastAsia="Calibri"/>
          <w:b/>
          <w:i w:val="0"/>
          <w:color w:val="173D4C"/>
          <w:sz w:val="24"/>
          <w:vertAlign w:val="subscript"/>
        </w:rPr>
        <w:t>2.5</w:t>
      </w:r>
      <w:r>
        <w:rPr>
          <w:rFonts w:ascii="Calibri" w:hAnsi="Calibri" w:eastAsia="Calibri"/>
          <w:b/>
          <w:i w:val="0"/>
          <w:color w:val="173D4C"/>
          <w:sz w:val="24"/>
        </w:rPr>
        <w:t xml:space="preserve"> en el AMG</w:t>
      </w:r>
    </w:p>
    <w:p>
      <w:pPr>
        <w:spacing w:after="160"/>
        <w:jc w:val="both"/>
      </w:pPr>
      <w:r>
        <w:rPr>
          <w:rFonts w:ascii="Calibri" w:hAnsi="Calibri" w:eastAsia="Calibri"/>
          <w:b w:val="0"/>
          <w:i w:val="0"/>
          <w:color w:val="324D59"/>
          <w:sz w:val="22"/>
        </w:rPr>
        <w:t>Para cada hora del año se toma la concentración máxima de PM</w:t>
      </w:r>
      <w:r>
        <w:rPr>
          <w:rFonts w:ascii="Calibri" w:hAnsi="Calibri" w:eastAsia="Calibri"/>
          <w:b w:val="0"/>
          <w:i w:val="0"/>
          <w:color w:val="324D59"/>
          <w:sz w:val="22"/>
          <w:vertAlign w:val="subscript"/>
        </w:rPr>
        <w:t>2.5</w:t>
      </w:r>
      <w:r>
        <w:rPr>
          <w:rFonts w:ascii="Calibri" w:hAnsi="Calibri" w:eastAsia="Calibri"/>
          <w:b w:val="0"/>
          <w:i w:val="0"/>
          <w:color w:val="324D59"/>
          <w:sz w:val="22"/>
        </w:rPr>
        <w:t xml:space="preserve"> entre las estaciones de la red, que representa al AMG, y se promedia por hora del día dentro de cada mes (se exigen al menos 6 días con dato por hora y que el AMG tenga dato en al menos 75% de las horas del mes). En los meses con dato, la concentración promedio es mayor hacia las 8 h y menor hacia las 13 h, un patrón que suele asociarse con la actividad vehicular y con la menor dispersión atmosférica de las primeras horas de la mañana y de la noche. El mes con la concentración promedio más alta fue diciembre (80 µg/m³), mientras que el pico horario más alto del año se registra en marzo (130 µg/m³ a las 8 h).</w:t>
      </w:r>
    </w:p>
    <w:p>
      <w:pPr>
        <w:keepNext/>
        <w:spacing w:before="160"/>
      </w:pPr>
      <w:r>
        <w:rPr>
          <w:rFonts w:ascii="Calibri" w:hAnsi="Calibri" w:eastAsia="Calibri"/>
          <w:b/>
          <w:i w:val="0"/>
          <w:color w:val="173D4C"/>
          <w:sz w:val="19"/>
        </w:rPr>
        <w:t>Figura 14. Concentración promedio horaria de PM</w:t>
      </w:r>
      <w:r>
        <w:rPr>
          <w:rFonts w:ascii="Calibri" w:hAnsi="Calibri" w:eastAsia="Calibri"/>
          <w:b/>
          <w:i w:val="0"/>
          <w:color w:val="173D4C"/>
          <w:sz w:val="19"/>
          <w:vertAlign w:val="subscript"/>
        </w:rPr>
        <w:t>2.5</w:t>
      </w:r>
      <w:r>
        <w:rPr>
          <w:rFonts w:ascii="Calibri" w:hAnsi="Calibri" w:eastAsia="Calibri"/>
          <w:b/>
          <w:i w:val="0"/>
          <w:color w:val="173D4C"/>
          <w:sz w:val="19"/>
        </w:rPr>
        <w:t xml:space="preserve"> en el AMG, encadenada por mes, 2024.</w:t>
      </w:r>
    </w:p>
    <w:p>
      <w:pPr>
        <w:jc w:val="center"/>
      </w:pPr>
      <w:r>
        <w:drawing>
          <wp:inline xmlns:a="http://schemas.openxmlformats.org/drawingml/2006/main" xmlns:pic="http://schemas.openxmlformats.org/drawingml/2006/picture">
            <wp:extent cx="6188400" cy="2539699"/>
            <wp:docPr id="26" name="Picture 26"/>
            <wp:cNvGraphicFramePr>
              <a:graphicFrameLocks noChangeAspect="1"/>
            </wp:cNvGraphicFramePr>
            <a:graphic>
              <a:graphicData uri="http://schemas.openxmlformats.org/drawingml/2006/picture">
                <pic:pic>
                  <pic:nvPicPr>
                    <pic:cNvPr id="0" name="d24.png"/>
                    <pic:cNvPicPr/>
                  </pic:nvPicPr>
                  <pic:blipFill>
                    <a:blip r:embed="rId33"/>
                    <a:stretch>
                      <a:fillRect/>
                    </a:stretch>
                  </pic:blipFill>
                  <pic:spPr>
                    <a:xfrm>
                      <a:off x="0" y="0"/>
                      <a:ext cx="6188400" cy="2539699"/>
                    </a:xfrm>
                    <a:prstGeom prst="rect"/>
                  </pic:spPr>
                </pic:pic>
              </a:graphicData>
            </a:graphic>
          </wp:inline>
        </w:drawing>
      </w:r>
    </w:p>
    <w:p>
      <w:pPr>
        <w:pStyle w:val="Heading2"/>
      </w:pPr>
      <w:r>
        <w:rPr>
          <w:rFonts w:ascii="Calibri" w:hAnsi="Calibri" w:eastAsia="Calibri"/>
          <w:b/>
          <w:i w:val="0"/>
          <w:color w:val="173D4C"/>
          <w:sz w:val="24"/>
        </w:rPr>
        <w:t>Distribución horaria mensual de PM</w:t>
      </w:r>
      <w:r>
        <w:rPr>
          <w:rFonts w:ascii="Calibri" w:hAnsi="Calibri" w:eastAsia="Calibri"/>
          <w:b/>
          <w:i w:val="0"/>
          <w:color w:val="173D4C"/>
          <w:sz w:val="24"/>
          <w:vertAlign w:val="subscript"/>
        </w:rPr>
        <w:t>2.5</w:t>
      </w:r>
      <w:r>
        <w:rPr>
          <w:rFonts w:ascii="Calibri" w:hAnsi="Calibri" w:eastAsia="Calibri"/>
          <w:b/>
          <w:i w:val="0"/>
          <w:color w:val="173D4C"/>
          <w:sz w:val="24"/>
        </w:rPr>
        <w:t xml:space="preserve"> en el AMG</w:t>
      </w:r>
    </w:p>
    <w:p>
      <w:pPr>
        <w:spacing w:after="160"/>
        <w:jc w:val="both"/>
      </w:pPr>
      <w:r>
        <w:rPr>
          <w:rFonts w:ascii="Calibri" w:hAnsi="Calibri" w:eastAsia="Calibri"/>
          <w:b w:val="0"/>
          <w:i w:val="0"/>
          <w:color w:val="324D59"/>
          <w:sz w:val="22"/>
        </w:rPr>
        <w:t>La Figura 15 muestra, para cada mes de 2024, la distribución de las concentraciones horarias de PM</w:t>
      </w:r>
      <w:r>
        <w:rPr>
          <w:rFonts w:ascii="Calibri" w:hAnsi="Calibri" w:eastAsia="Calibri"/>
          <w:b w:val="0"/>
          <w:i w:val="0"/>
          <w:color w:val="324D59"/>
          <w:sz w:val="22"/>
          <w:vertAlign w:val="subscript"/>
        </w:rPr>
        <w:t>2.5</w:t>
      </w:r>
      <w:r>
        <w:rPr>
          <w:rFonts w:ascii="Calibri" w:hAnsi="Calibri" w:eastAsia="Calibri"/>
          <w:b w:val="0"/>
          <w:i w:val="0"/>
          <w:color w:val="324D59"/>
          <w:sz w:val="22"/>
        </w:rPr>
        <w:t xml:space="preserve"> en el AMG (promedio móvil de 24 horas; en cada hora se toma el valor más alto entre las estaciones). El contorno del violín indica qué tan frecuentes son los distintos valores; la caja abarca del primer al tercer cuartil, la línea blanca es la mediana y el punto blanco, la media. Solo se grafican los meses con al menos 75% de sus horas con dato. Sobre cada violín se indica la clave de la estación que registró el valor más alto de ese mes. El valor más alto del año, 208 µg/m³, superó el límite de 24 horas de la NOM (33 µg/m³).</w:t>
      </w:r>
    </w:p>
    <w:p>
      <w:pPr>
        <w:keepNext/>
        <w:spacing w:before="160"/>
      </w:pPr>
      <w:r>
        <w:rPr>
          <w:rFonts w:ascii="Calibri" w:hAnsi="Calibri" w:eastAsia="Calibri"/>
          <w:b/>
          <w:i w:val="0"/>
          <w:color w:val="173D4C"/>
          <w:sz w:val="19"/>
        </w:rPr>
        <w:t>Figura 15. Distribución horaria mensual de PM</w:t>
      </w:r>
      <w:r>
        <w:rPr>
          <w:rFonts w:ascii="Calibri" w:hAnsi="Calibri" w:eastAsia="Calibri"/>
          <w:b/>
          <w:i w:val="0"/>
          <w:color w:val="173D4C"/>
          <w:sz w:val="19"/>
          <w:vertAlign w:val="subscript"/>
        </w:rPr>
        <w:t>2.5</w:t>
      </w:r>
      <w:r>
        <w:rPr>
          <w:rFonts w:ascii="Calibri" w:hAnsi="Calibri" w:eastAsia="Calibri"/>
          <w:b/>
          <w:i w:val="0"/>
          <w:color w:val="173D4C"/>
          <w:sz w:val="19"/>
        </w:rPr>
        <w:t xml:space="preserve"> (promedio móvil de 24 horas) en el AMG, 2024.</w:t>
      </w:r>
    </w:p>
    <w:p>
      <w:pPr>
        <w:jc w:val="center"/>
      </w:pPr>
      <w:r>
        <w:drawing>
          <wp:inline xmlns:a="http://schemas.openxmlformats.org/drawingml/2006/main" xmlns:pic="http://schemas.openxmlformats.org/drawingml/2006/picture">
            <wp:extent cx="6188400" cy="2095252"/>
            <wp:docPr id="27" name="Picture 27"/>
            <wp:cNvGraphicFramePr>
              <a:graphicFrameLocks noChangeAspect="1"/>
            </wp:cNvGraphicFramePr>
            <a:graphic>
              <a:graphicData uri="http://schemas.openxmlformats.org/drawingml/2006/picture">
                <pic:pic>
                  <pic:nvPicPr>
                    <pic:cNvPr id="0" name="d25.png"/>
                    <pic:cNvPicPr/>
                  </pic:nvPicPr>
                  <pic:blipFill>
                    <a:blip r:embed="rId34"/>
                    <a:stretch>
                      <a:fillRect/>
                    </a:stretch>
                  </pic:blipFill>
                  <pic:spPr>
                    <a:xfrm>
                      <a:off x="0" y="0"/>
                      <a:ext cx="6188400" cy="2095252"/>
                    </a:xfrm>
                    <a:prstGeom prst="rect"/>
                  </pic:spPr>
                </pic:pic>
              </a:graphicData>
            </a:graphic>
          </wp:inline>
        </w:drawing>
      </w:r>
    </w:p>
    <w:p>
      <w:pPr>
        <w:jc w:val="center"/>
      </w:pPr>
      <w:r>
        <w:drawing>
          <wp:inline xmlns:a="http://schemas.openxmlformats.org/drawingml/2006/main" xmlns:pic="http://schemas.openxmlformats.org/drawingml/2006/picture">
            <wp:extent cx="6188400" cy="163057"/>
            <wp:docPr id="28" name="Picture 28"/>
            <wp:cNvGraphicFramePr>
              <a:graphicFrameLocks noChangeAspect="1"/>
            </wp:cNvGraphicFramePr>
            <a:graphic>
              <a:graphicData uri="http://schemas.openxmlformats.org/drawingml/2006/picture">
                <pic:pic>
                  <pic:nvPicPr>
                    <pic:cNvPr id="0" name="d21.png"/>
                    <pic:cNvPicPr/>
                  </pic:nvPicPr>
                  <pic:blipFill>
                    <a:blip r:embed="rId31"/>
                    <a:stretch>
                      <a:fillRect/>
                    </a:stretch>
                  </pic:blipFill>
                  <pic:spPr>
                    <a:xfrm>
                      <a:off x="0" y="0"/>
                      <a:ext cx="6188400" cy="163057"/>
                    </a:xfrm>
                    <a:prstGeom prst="rect"/>
                  </pic:spPr>
                </pic:pic>
              </a:graphicData>
            </a:graphic>
          </wp:inline>
        </w:drawing>
      </w:r>
    </w:p>
    <w:p>
      <w:pPr>
        <w:spacing w:after="160"/>
        <w:jc w:val="both"/>
      </w:pPr>
      <w:r>
        <w:rPr>
          <w:rFonts w:ascii="Calibri" w:hAnsi="Calibri" w:eastAsia="Calibri"/>
          <w:b w:val="0"/>
          <w:i w:val="0"/>
          <w:color w:val="324D59"/>
          <w:sz w:val="22"/>
        </w:rPr>
        <w:t>La mediana horaria de PM</w:t>
      </w:r>
      <w:r>
        <w:rPr>
          <w:rFonts w:ascii="Calibri" w:hAnsi="Calibri" w:eastAsia="Calibri"/>
          <w:b w:val="0"/>
          <w:i w:val="0"/>
          <w:color w:val="324D59"/>
          <w:sz w:val="22"/>
          <w:vertAlign w:val="subscript"/>
        </w:rPr>
        <w:t>2.5</w:t>
      </w:r>
      <w:r>
        <w:rPr>
          <w:rFonts w:ascii="Calibri" w:hAnsi="Calibri" w:eastAsia="Calibri"/>
          <w:b w:val="0"/>
          <w:i w:val="0"/>
          <w:color w:val="324D59"/>
          <w:sz w:val="22"/>
        </w:rPr>
        <w:t xml:space="preserve"> en el AMG alcanza su valor más alto en diciembre (75 µg/m³) y el más bajo en julio (18 µg/m³). Febrero, por su parte, presenta la mayor variabilidad entre horas, con la caja más ancha del año (44 µg/m³). En cuanto al límite de 24 horas de la NOM (33 µg/m³), este se rebasa en al menos una hora en enero, febrero, marzo, abril, mayo, junio, octubre, noviembre y diciembre, y el valor máximo del año, 208 µg/m³, se registra en enero.</w:t>
      </w:r>
    </w:p>
    <w:p>
      <w:pPr>
        <w:pStyle w:val="Heading2"/>
      </w:pPr>
      <w:r>
        <w:rPr>
          <w:rFonts w:ascii="Calibri" w:hAnsi="Calibri" w:eastAsia="Calibri"/>
          <w:b/>
          <w:i w:val="0"/>
          <w:color w:val="173D4C"/>
          <w:sz w:val="24"/>
        </w:rPr>
        <w:t>Días con calidad del aire Buena o Aceptable por estación de PM</w:t>
      </w:r>
      <w:r>
        <w:rPr>
          <w:rFonts w:ascii="Calibri" w:hAnsi="Calibri" w:eastAsia="Calibri"/>
          <w:b/>
          <w:i w:val="0"/>
          <w:color w:val="173D4C"/>
          <w:sz w:val="24"/>
          <w:vertAlign w:val="subscript"/>
        </w:rPr>
        <w:t>2.5</w:t>
      </w:r>
    </w:p>
    <w:p>
      <w:pPr>
        <w:spacing w:after="160"/>
        <w:jc w:val="both"/>
      </w:pPr>
      <w:r>
        <w:rPr>
          <w:rFonts w:ascii="Calibri" w:hAnsi="Calibri" w:eastAsia="Calibri"/>
          <w:b w:val="0"/>
          <w:i w:val="0"/>
          <w:color w:val="324D59"/>
          <w:sz w:val="22"/>
        </w:rPr>
        <w:t>Los mapas de la Figura 16 muestran, año por año, cuántos días tuvo cada estación de monitoreo con calidad del aire Buena o Aceptable según el Índice Aire y Salud (IAS), considerando únicamente el PM</w:t>
      </w:r>
      <w:r>
        <w:rPr>
          <w:rFonts w:ascii="Calibri" w:hAnsi="Calibri" w:eastAsia="Calibri"/>
          <w:b w:val="0"/>
          <w:i w:val="0"/>
          <w:color w:val="324D59"/>
          <w:sz w:val="22"/>
          <w:vertAlign w:val="subscript"/>
        </w:rPr>
        <w:t>2.5</w:t>
      </w:r>
      <w:r>
        <w:rPr>
          <w:rFonts w:ascii="Calibri" w:hAnsi="Calibri" w:eastAsia="Calibri"/>
          <w:b w:val="0"/>
          <w:i w:val="0"/>
          <w:color w:val="324D59"/>
          <w:sz w:val="22"/>
        </w:rPr>
        <w:t xml:space="preserve"> (promedio diario de 24 horas). Cada burbuja está ubicada donde se encuentra la estación y su tamaño es proporcional a ese número de días: mientras más grande, más días con aire de buena o aceptable calidad. Así, los mapas permiten comparar tanto las zonas del AMG entre sí como la evolución de cada una de ellas entre 2019 y 2024, con la misma escala de tamaño en todos los años.</w:t>
      </w:r>
    </w:p>
    <w:p>
      <w:pPr>
        <w:spacing w:after="160"/>
        <w:jc w:val="both"/>
      </w:pPr>
      <w:r>
        <w:rPr>
          <w:rFonts w:ascii="Calibri" w:hAnsi="Calibri" w:eastAsia="Calibri"/>
          <w:b w:val="0"/>
          <w:i w:val="0"/>
          <w:color w:val="324D59"/>
          <w:sz w:val="22"/>
        </w:rPr>
        <w:t>Las burbujas con borde punteado corresponden a estaciones que no alcanzaron el 75% de días con dato en el año (por ejemplo, las que iniciaron operaciones o estuvieron fuera de servicio), por lo que su total no cubre el año completo y no es comparable con el de las demás. Los puntos grises indican estaciones sin datos en ese año.</w:t>
      </w:r>
    </w:p>
    <w:p>
      <w:pPr>
        <w:keepNext/>
        <w:spacing w:before="160"/>
      </w:pPr>
      <w:r>
        <w:rPr>
          <w:rFonts w:ascii="Calibri" w:hAnsi="Calibri" w:eastAsia="Calibri"/>
          <w:b/>
          <w:i w:val="0"/>
          <w:color w:val="173D4C"/>
          <w:sz w:val="19"/>
        </w:rPr>
        <w:t>Figura 16. Días con calidad del aire Buena o Aceptable por estación de PM</w:t>
      </w:r>
      <w:r>
        <w:rPr>
          <w:rFonts w:ascii="Calibri" w:hAnsi="Calibri" w:eastAsia="Calibri"/>
          <w:b/>
          <w:i w:val="0"/>
          <w:color w:val="173D4C"/>
          <w:sz w:val="19"/>
          <w:vertAlign w:val="subscript"/>
        </w:rPr>
        <w:t>2.5</w:t>
      </w:r>
      <w:r>
        <w:rPr>
          <w:rFonts w:ascii="Calibri" w:hAnsi="Calibri" w:eastAsia="Calibri"/>
          <w:b/>
          <w:i w:val="0"/>
          <w:color w:val="173D4C"/>
          <w:sz w:val="19"/>
        </w:rPr>
        <w:t>, 2019–2024.</w:t>
      </w:r>
    </w:p>
    <w:p>
      <w:pPr>
        <w:jc w:val="center"/>
      </w:pPr>
      <w:r>
        <w:drawing>
          <wp:inline xmlns:a="http://schemas.openxmlformats.org/drawingml/2006/main" xmlns:pic="http://schemas.openxmlformats.org/drawingml/2006/picture">
            <wp:extent cx="6188400" cy="4354644"/>
            <wp:docPr id="29" name="Picture 29"/>
            <wp:cNvGraphicFramePr>
              <a:graphicFrameLocks noChangeAspect="1"/>
            </wp:cNvGraphicFramePr>
            <a:graphic>
              <a:graphicData uri="http://schemas.openxmlformats.org/drawingml/2006/picture">
                <pic:pic>
                  <pic:nvPicPr>
                    <pic:cNvPr id="0" name="d27.png"/>
                    <pic:cNvPicPr/>
                  </pic:nvPicPr>
                  <pic:blipFill>
                    <a:blip r:embed="rId35"/>
                    <a:stretch>
                      <a:fillRect/>
                    </a:stretch>
                  </pic:blipFill>
                  <pic:spPr>
                    <a:xfrm>
                      <a:off x="0" y="0"/>
                      <a:ext cx="6188400" cy="4354644"/>
                    </a:xfrm>
                    <a:prstGeom prst="rect"/>
                  </pic:spPr>
                </pic:pic>
              </a:graphicData>
            </a:graphic>
          </wp:inline>
        </w:drawing>
      </w:r>
    </w:p>
    <w:p>
      <w:pPr>
        <w:jc w:val="center"/>
      </w:pPr>
      <w:r>
        <w:drawing>
          <wp:inline xmlns:a="http://schemas.openxmlformats.org/drawingml/2006/main" xmlns:pic="http://schemas.openxmlformats.org/drawingml/2006/picture">
            <wp:extent cx="6188400" cy="330161"/>
            <wp:docPr id="30" name="Picture 30"/>
            <wp:cNvGraphicFramePr>
              <a:graphicFrameLocks noChangeAspect="1"/>
            </wp:cNvGraphicFramePr>
            <a:graphic>
              <a:graphicData uri="http://schemas.openxmlformats.org/drawingml/2006/picture">
                <pic:pic>
                  <pic:nvPicPr>
                    <pic:cNvPr id="0" name="d5.png"/>
                    <pic:cNvPicPr/>
                  </pic:nvPicPr>
                  <pic:blipFill>
                    <a:blip r:embed="rId17"/>
                    <a:stretch>
                      <a:fillRect/>
                    </a:stretch>
                  </pic:blipFill>
                  <pic:spPr>
                    <a:xfrm>
                      <a:off x="0" y="0"/>
                      <a:ext cx="6188400" cy="330161"/>
                    </a:xfrm>
                    <a:prstGeom prst="rect"/>
                  </pic:spPr>
                </pic:pic>
              </a:graphicData>
            </a:graphic>
          </wp:inline>
        </w:drawing>
      </w:r>
    </w:p>
    <w:p>
      <w:pPr>
        <w:spacing w:after="160"/>
        <w:jc w:val="both"/>
      </w:pPr>
      <w:r>
        <w:rPr>
          <w:rFonts w:ascii="Calibri" w:hAnsi="Calibri" w:eastAsia="Calibri"/>
          <w:b w:val="0"/>
          <w:i w:val="0"/>
          <w:color w:val="324D59"/>
          <w:sz w:val="22"/>
        </w:rPr>
        <w:t>En 2024, entre las estaciones con datos suficientes, las que acumularon más días con calidad Buena o Aceptable fueron Águilas (AGU; 308 días), Centro (CEN; 261 días) y Miravalle (MIR; 165 días), mientras que Pintas (PIN) registró el menor número (123 días). Por su parte, Atemajac (ATM), Oblatos (OBL), Santa Fe (SFE), Tlaquepaque (TLA) y Vallarta (VAL) presentan datos parciales, pues no alcanzaron el 75% de días con dato del año, por lo que sus cifras no son comparables con las de las demás; a ellas se suman Country (COU), Santa Anita (SAN) y Santa Margarita (SMT), que se incorporaron a la red en septiembre de 2024 y, por lo tanto, tampoco alcanzaron a acumular un año completo de operación (58 a 107 días).</w:t>
      </w:r>
    </w:p>
    <w:p>
      <w:pPr>
        <w:spacing w:after="160"/>
        <w:jc w:val="both"/>
      </w:pPr>
      <w:r>
        <w:rPr>
          <w:rFonts w:ascii="Calibri" w:hAnsi="Calibri" w:eastAsia="Calibri"/>
          <w:b w:val="0"/>
          <w:i w:val="0"/>
          <w:color w:val="324D59"/>
          <w:sz w:val="22"/>
        </w:rPr>
        <w:t>Al comparar con 2023, de las tres estaciones con datos suficientes en ambos años, dos aumentaron sus días con calidad Buena o Aceptable y una los disminuyó. El mayor incremento se registró en Centro (CEN), con 109 días más, y la mayor disminución en Miravalle (MIR), con 12 días menos.</w:t>
      </w:r>
    </w:p>
    <w:p>
      <w:pPr>
        <w:spacing w:after="160"/>
        <w:jc w:val="both"/>
      </w:pPr>
      <w:r>
        <w:rPr>
          <w:rFonts w:ascii="Calibri" w:hAnsi="Calibri" w:eastAsia="Calibri"/>
          <w:b w:val="0"/>
          <w:i w:val="0"/>
          <w:color w:val="324D59"/>
          <w:sz w:val="22"/>
        </w:rPr>
        <w:t>En el periodo 2019–2024, el valor más alto lo registró Águilas (AGU) en 2024, con 308 días. Considerando únicamente las estaciones con datos suficientes en cada año, el promedio fue mayor en 2024 (200 días por estación) y menor en 2023 (178 días), aunque las estaciones con datos suficientes no fueron las mismas cada año.</w:t>
      </w:r>
    </w:p>
    <w:p>
      <w:r>
        <w:br w:type="page"/>
      </w:r>
    </w:p>
    <w:p>
      <w:pPr>
        <w:pStyle w:val="Heading1"/>
      </w:pPr>
      <w:r>
        <w:rPr>
          <w:rFonts w:ascii="Calibri" w:hAnsi="Calibri" w:eastAsia="Calibri"/>
          <w:b/>
          <w:i w:val="0"/>
          <w:color w:val="173D4C"/>
          <w:sz w:val="30"/>
        </w:rPr>
        <w:t>Hallazgos 2024</w:t>
      </w:r>
    </w:p>
    <w:p>
      <w:pPr>
        <w:spacing w:after="160"/>
        <w:jc w:val="both"/>
      </w:pPr>
      <w:r>
        <w:rPr>
          <w:rFonts w:ascii="Calibri" w:hAnsi="Calibri" w:eastAsia="Calibri"/>
          <w:b w:val="0"/>
          <w:i w:val="0"/>
          <w:color w:val="324D59"/>
          <w:sz w:val="22"/>
        </w:rPr>
        <w:t>Esta sección resume los principales hallazgos del informe 2024, integrando los resultados de calidad del aire, cumplimiento normativo y el comportamiento de cada contaminante a lo largo del año.</w:t>
      </w:r>
    </w:p>
    <w:p>
      <w:pPr>
        <w:spacing w:after="160"/>
        <w:jc w:val="both"/>
      </w:pPr>
      <w:r>
        <w:rPr>
          <w:rFonts w:ascii="Calibri" w:hAnsi="Calibri" w:eastAsia="Calibri"/>
          <w:b w:val="0"/>
          <w:i w:val="0"/>
          <w:color w:val="324D59"/>
          <w:sz w:val="22"/>
        </w:rPr>
        <w:t>El AMG registró 80 días con calidad del aire Buena o Aceptable durante 2024, 24 días más que en 2023 (un incremento de 43%).</w:t>
      </w:r>
    </w:p>
    <w:p>
      <w:pPr>
        <w:spacing w:after="160"/>
        <w:jc w:val="both"/>
      </w:pPr>
      <w:r>
        <w:rPr>
          <w:rFonts w:ascii="Calibri" w:hAnsi="Calibri" w:eastAsia="Calibri"/>
          <w:b w:val="0"/>
          <w:i w:val="0"/>
          <w:color w:val="324D59"/>
          <w:sz w:val="22"/>
        </w:rPr>
        <w:t>A nivel horario, el AMG se mantuvo en categoría Buena o Aceptable el 40% de las horas de 2024, frente a un 60% en categoría Mala o peor.</w:t>
      </w:r>
    </w:p>
    <w:p>
      <w:pPr>
        <w:spacing w:after="160"/>
        <w:jc w:val="both"/>
      </w:pPr>
      <w:r>
        <w:rPr>
          <w:rFonts w:ascii="Calibri" w:hAnsi="Calibri" w:eastAsia="Calibri"/>
          <w:b w:val="0"/>
          <w:i w:val="0"/>
          <w:color w:val="324D59"/>
          <w:sz w:val="22"/>
        </w:rPr>
        <w:t>Entre las estaciones con datos suficientes en 2024, CEN presentó la mayor proporción de horas en categoría Buena o Aceptable (87%), mientras que PIN concentró la mayor proporción de horas en categoría Mala o peor (48%).</w:t>
      </w:r>
    </w:p>
    <w:p>
      <w:pPr>
        <w:spacing w:after="160"/>
        <w:jc w:val="both"/>
      </w:pPr>
      <w:r>
        <w:rPr>
          <w:rFonts w:ascii="Calibri" w:hAnsi="Calibri" w:eastAsia="Calibri"/>
          <w:b w:val="0"/>
          <w:i w:val="0"/>
          <w:color w:val="324D59"/>
          <w:sz w:val="22"/>
        </w:rPr>
        <w:t>De los 12 parámetros normativos evaluados, 6 presentaron incumplimientos en al menos una estación. El más extendido fue PM</w:t>
      </w:r>
      <w:r>
        <w:rPr>
          <w:rFonts w:ascii="Calibri" w:hAnsi="Calibri" w:eastAsia="Calibri"/>
          <w:b w:val="0"/>
          <w:i w:val="0"/>
          <w:color w:val="324D59"/>
          <w:sz w:val="22"/>
          <w:vertAlign w:val="subscript"/>
        </w:rPr>
        <w:t>10</w:t>
      </w:r>
      <w:r>
        <w:rPr>
          <w:rFonts w:ascii="Calibri" w:hAnsi="Calibri" w:eastAsia="Calibri"/>
          <w:b w:val="0"/>
          <w:i w:val="0"/>
          <w:color w:val="324D59"/>
          <w:sz w:val="22"/>
        </w:rPr>
        <w:t xml:space="preserve"> (24 horas), que no cumplió en siete estaciones (AGU, CEN, LDO, MIR, PIN, TLA y VAL).</w:t>
      </w:r>
    </w:p>
    <w:p>
      <w:pPr>
        <w:spacing w:after="160"/>
        <w:jc w:val="both"/>
      </w:pPr>
      <w:r>
        <w:rPr>
          <w:rFonts w:ascii="Calibri" w:hAnsi="Calibri" w:eastAsia="Calibri"/>
          <w:b w:val="0"/>
          <w:i w:val="0"/>
          <w:color w:val="324D59"/>
          <w:sz w:val="22"/>
        </w:rPr>
        <w:t>PM</w:t>
      </w:r>
      <w:r>
        <w:rPr>
          <w:rFonts w:ascii="Calibri" w:hAnsi="Calibri" w:eastAsia="Calibri"/>
          <w:b w:val="0"/>
          <w:i w:val="0"/>
          <w:color w:val="324D59"/>
          <w:sz w:val="22"/>
          <w:vertAlign w:val="subscript"/>
        </w:rPr>
        <w:t>10</w:t>
      </w:r>
      <w:r>
        <w:rPr>
          <w:rFonts w:ascii="Calibri" w:hAnsi="Calibri" w:eastAsia="Calibri"/>
          <w:b w:val="0"/>
          <w:i w:val="0"/>
          <w:color w:val="324D59"/>
          <w:sz w:val="22"/>
        </w:rPr>
        <w:t xml:space="preserve"> registró su valor horario más alto del año en diciembre, con 318 µg/m³, equivalente a 5.3 veces el límite de la NOM (24 horas).</w:t>
      </w:r>
    </w:p>
    <w:p>
      <w:pPr>
        <w:spacing w:after="160"/>
        <w:jc w:val="both"/>
      </w:pPr>
      <w:r>
        <w:rPr>
          <w:rFonts w:ascii="Calibri" w:hAnsi="Calibri" w:eastAsia="Calibri"/>
          <w:b w:val="0"/>
          <w:i w:val="0"/>
          <w:color w:val="324D59"/>
          <w:sz w:val="22"/>
        </w:rPr>
        <w:t>PM</w:t>
      </w:r>
      <w:r>
        <w:rPr>
          <w:rFonts w:ascii="Calibri" w:hAnsi="Calibri" w:eastAsia="Calibri"/>
          <w:b w:val="0"/>
          <w:i w:val="0"/>
          <w:color w:val="324D59"/>
          <w:sz w:val="22"/>
          <w:vertAlign w:val="subscript"/>
        </w:rPr>
        <w:t>2.5</w:t>
      </w:r>
      <w:r>
        <w:rPr>
          <w:rFonts w:ascii="Calibri" w:hAnsi="Calibri" w:eastAsia="Calibri"/>
          <w:b w:val="0"/>
          <w:i w:val="0"/>
          <w:color w:val="324D59"/>
          <w:sz w:val="22"/>
        </w:rPr>
        <w:t xml:space="preserve"> registró su valor horario más alto del año en enero, con 208 µg/m³, equivalente a 6.3 veces el límite de la NOM (24 horas).</w:t>
      </w:r>
    </w:p>
    <w:p>
      <w:pPr>
        <w:spacing w:after="160"/>
        <w:jc w:val="both"/>
      </w:pPr>
      <w:r>
        <w:rPr>
          <w:rFonts w:ascii="Calibri" w:hAnsi="Calibri" w:eastAsia="Calibri"/>
          <w:b w:val="0"/>
          <w:i w:val="0"/>
          <w:color w:val="324D59"/>
          <w:sz w:val="22"/>
        </w:rPr>
        <w:t>O</w:t>
      </w:r>
      <w:r>
        <w:rPr>
          <w:rFonts w:ascii="Calibri" w:hAnsi="Calibri" w:eastAsia="Calibri"/>
          <w:b w:val="0"/>
          <w:i w:val="0"/>
          <w:color w:val="324D59"/>
          <w:sz w:val="22"/>
          <w:vertAlign w:val="subscript"/>
        </w:rPr>
        <w:t>3</w:t>
      </w:r>
      <w:r>
        <w:rPr>
          <w:rFonts w:ascii="Calibri" w:hAnsi="Calibri" w:eastAsia="Calibri"/>
          <w:b w:val="0"/>
          <w:i w:val="0"/>
          <w:color w:val="324D59"/>
          <w:sz w:val="22"/>
        </w:rPr>
        <w:t xml:space="preserve"> registró su valor horario más alto del año en febrero, con 0.169 ppm, por encima del límite de la NOM (1 hora).</w:t>
      </w:r>
    </w:p>
    <w:p>
      <w:pPr>
        <w:spacing w:after="160"/>
        <w:jc w:val="both"/>
      </w:pPr>
      <w:r>
        <w:rPr>
          <w:rFonts w:ascii="Calibri" w:hAnsi="Calibri" w:eastAsia="Calibri"/>
          <w:b w:val="0"/>
          <w:i w:val="0"/>
          <w:color w:val="324D59"/>
          <w:sz w:val="22"/>
        </w:rPr>
        <w:t>CO registró su valor horario más alto del año en enero, con 6.4 ppm, dentro del límite de la NOM (8 horas).</w:t>
      </w:r>
    </w:p>
    <w:p>
      <w:pPr>
        <w:spacing w:after="160"/>
        <w:jc w:val="both"/>
      </w:pPr>
      <w:r>
        <w:rPr>
          <w:rFonts w:ascii="Calibri" w:hAnsi="Calibri" w:eastAsia="Calibri"/>
          <w:b w:val="0"/>
          <w:i w:val="0"/>
          <w:color w:val="324D59"/>
          <w:sz w:val="22"/>
        </w:rPr>
        <w:t>La red de monitoreo se amplió en septiembre de 2024 con la incorporación de Country, Santa Anita y Santa Margarita, alcanzando un total de 13 estaciones en operación al cierre del año.</w:t>
      </w:r>
    </w:p>
    <w:p>
      <w:r>
        <w:br w:type="page"/>
      </w:r>
    </w:p>
    <w:p>
      <w:pPr>
        <w:pStyle w:val="Heading1"/>
      </w:pPr>
      <w:r>
        <w:rPr>
          <w:rFonts w:ascii="Calibri" w:hAnsi="Calibri" w:eastAsia="Calibri"/>
          <w:b/>
          <w:i w:val="0"/>
          <w:color w:val="173D4C"/>
          <w:sz w:val="30"/>
        </w:rPr>
        <w:t>Bibliografía</w:t>
      </w:r>
    </w:p>
    <w:p>
      <w:pPr>
        <w:spacing w:after="120"/>
        <w:ind w:left="320" w:hanging="320"/>
      </w:pPr>
      <w:r>
        <w:rPr>
          <w:rFonts w:ascii="Calibri" w:hAnsi="Calibri" w:eastAsia="Calibri"/>
          <w:b w:val="0"/>
          <w:i w:val="0"/>
          <w:color w:val="324D59"/>
          <w:sz w:val="20"/>
        </w:rPr>
        <w:t>- Congreso del Estado de Jalisco. (2009, 26 de diciembre). Decreto Nº 23021/LVIII/09 que aprueba la declaratoria del Área Metropolitana de Guadalajara [Decreto]. Periódico Oficial del Estado de Jalisco. Recuperado de https://congresoweb.congresojal.gob.mx/Servicios/sistemas/SIP/decretossip/decretos/Decretos%20LVIII/Decreto%2023021.pdf.</w:t>
      </w:r>
    </w:p>
    <w:p>
      <w:pPr>
        <w:spacing w:after="120"/>
        <w:ind w:left="320" w:hanging="320"/>
      </w:pPr>
      <w:r>
        <w:rPr>
          <w:rFonts w:ascii="Calibri" w:hAnsi="Calibri" w:eastAsia="Calibri"/>
          <w:b w:val="0"/>
          <w:i w:val="0"/>
          <w:color w:val="324D59"/>
          <w:sz w:val="20"/>
        </w:rPr>
        <w:t>- Congreso del Estado de Jalisco. (2015). Decreto Nº 25400/LX/2015 — Reforma al artículo único del Decreto 23021 que aprueba la declaratoria del Área Metropolitana de Guadalajara [Decreto]. Periódico Oficial del Estado de Jalisco. Recuperado de https://congresoweb.congresojal.gob.mx/Servicios/sistemas/SIP/decretossip/decretos/Decretos%20LX/Decreto%2025400.pdf.</w:t>
      </w:r>
    </w:p>
    <w:p>
      <w:pPr>
        <w:spacing w:after="120"/>
        <w:ind w:left="320" w:hanging="320"/>
      </w:pPr>
      <w:r>
        <w:rPr>
          <w:rFonts w:ascii="Calibri" w:hAnsi="Calibri" w:eastAsia="Calibri"/>
          <w:b w:val="0"/>
          <w:i w:val="0"/>
          <w:color w:val="324D59"/>
          <w:sz w:val="20"/>
        </w:rPr>
        <w:t>- Instituto de Información Estadística y Geográfica del Estado de Jalisco (IIEG). (2022). Análisis general del Área Metropolitana de Guadalajara (2020). Instituto de Información Estadística y Geográfica del Estado de Jalisco. Recuperado de https://iieg.gob.mx/ns/wp-content/uploads/2022/03/An%C3%A1lisis-General-del-%C3%81rea-Metropolitana-de-Guadalajara-2020.pdf</w:t>
      </w:r>
    </w:p>
    <w:p>
      <w:pPr>
        <w:spacing w:after="120"/>
        <w:ind w:left="320" w:hanging="320"/>
      </w:pPr>
      <w:r>
        <w:rPr>
          <w:rFonts w:ascii="Calibri" w:hAnsi="Calibri" w:eastAsia="Calibri"/>
          <w:b w:val="0"/>
          <w:i w:val="0"/>
          <w:color w:val="324D59"/>
          <w:sz w:val="20"/>
        </w:rPr>
        <w:t>- Instituto Nacional de Estadística y Geografía (INEGI). (2021, 26 de enero). En Jalisco somos 8 348 151 habitantes: Censo de Población y Vivienda 2020 (Comunicado). INEGI. Recuperado de https://www.inegi.org.mx/contenidos/saladeprensa/boletines/2021/EstSociodemo/ResultCenso2020_Jal.pdf</w:t>
      </w:r>
    </w:p>
    <w:p>
      <w:pPr>
        <w:spacing w:after="120"/>
        <w:ind w:left="320" w:hanging="320"/>
      </w:pPr>
      <w:r>
        <w:rPr>
          <w:rFonts w:ascii="Calibri" w:hAnsi="Calibri" w:eastAsia="Calibri"/>
          <w:b w:val="0"/>
          <w:i w:val="0"/>
          <w:color w:val="324D59"/>
          <w:sz w:val="20"/>
        </w:rPr>
        <w:t>- Comisión Ambiental / Gobierno de México. (s. f.). IMECA: Índice Metropolitano de la Calidad del Aire. Recuperado de https://www.gob.mx/comisionambiental/articulos/imeca-indice-metropolitano-de-la-calidad-del-aire?idiom=es</w:t>
      </w:r>
    </w:p>
    <w:p>
      <w:pPr>
        <w:spacing w:after="120"/>
        <w:ind w:left="320" w:hanging="320"/>
      </w:pPr>
      <w:r>
        <w:rPr>
          <w:rFonts w:ascii="Calibri" w:hAnsi="Calibri" w:eastAsia="Calibri"/>
          <w:b w:val="0"/>
          <w:i w:val="0"/>
          <w:color w:val="324D59"/>
          <w:sz w:val="20"/>
        </w:rPr>
        <w:t>- Secretaría de Medio Ambiente y Recursos Naturales (SEMARNAT). (2019). NOM-172-SEMARNAT-2019. Lineamientos para la obtención y comunicación del Índice de Calidad del Aire y Riesgos a la Salud [Norma]. Diario Oficial de la Federación. Recuperado de https://aire.nl.gob.mx/docs/normatividad/NOM-172-SEMARNAT-2019.pdf</w:t>
      </w:r>
    </w:p>
    <w:p>
      <w:pPr>
        <w:spacing w:after="120"/>
        <w:ind w:left="320" w:hanging="320"/>
      </w:pPr>
      <w:r>
        <w:rPr>
          <w:rFonts w:ascii="Calibri" w:hAnsi="Calibri" w:eastAsia="Calibri"/>
          <w:b w:val="0"/>
          <w:i w:val="0"/>
          <w:color w:val="324D59"/>
          <w:sz w:val="20"/>
        </w:rPr>
        <w:t>- Secretaría de Medio Ambiente y Recursos Naturales (SEMARNAT). (2023). NOM-172-SEMARNAT-2023. Lineamientos para la obtención y comunicación del Índice de Calidad del Aire y Riesgos a la Salud [Norma actualizada]. Recuperado de https://sinaica.inecc.gob.mx/archivo/noms/NOM-172-SEMARNAT-2023-Indice-AIRE-y-SALUD.pdf</w:t>
      </w:r>
    </w:p>
    <w:p>
      <w:pPr>
        <w:spacing w:after="120"/>
        <w:ind w:left="320" w:hanging="320"/>
      </w:pPr>
      <w:r>
        <w:rPr>
          <w:rFonts w:ascii="Calibri" w:hAnsi="Calibri" w:eastAsia="Calibri"/>
          <w:b w:val="0"/>
          <w:i w:val="0"/>
          <w:color w:val="324D59"/>
          <w:sz w:val="20"/>
        </w:rPr>
        <w:t>- Sistema Nacional de Información de la Calidad del Aire (SINAICA) / Instituto Nacional de Ecología y Cambio Climático (INECC). (s. f.). ¿Cómo está construido y cómo funciona el Índice AIRE y SALUD? Recuperado de https://sinaica.inecc.gob.mx/</w:t>
      </w:r>
    </w:p>
    <w:p>
      <w:pPr>
        <w:spacing w:after="120"/>
        <w:ind w:left="320" w:hanging="320"/>
      </w:pPr>
      <w:r>
        <w:rPr>
          <w:rFonts w:ascii="Calibri" w:hAnsi="Calibri" w:eastAsia="Calibri"/>
          <w:b w:val="0"/>
          <w:i w:val="0"/>
          <w:color w:val="324D59"/>
          <w:sz w:val="20"/>
        </w:rPr>
        <w:t>- INECC / SINAICA. (2021). Informe Nacional de la Calidad del Aire, México 2021 (ejemplo de uso del IAS en informes nacionales). Recuperado de https://sinaica.inecc.gob.mx/archivo/informes/Informe2021.pdf</w:t>
      </w:r>
    </w:p>
    <w:p>
      <w:pPr>
        <w:spacing w:after="120"/>
        <w:ind w:left="320" w:hanging="320"/>
      </w:pPr>
      <w:r>
        <w:rPr>
          <w:rFonts w:ascii="Calibri" w:hAnsi="Calibri" w:eastAsia="Calibri"/>
          <w:b w:val="0"/>
          <w:i w:val="0"/>
          <w:color w:val="324D59"/>
          <w:sz w:val="20"/>
        </w:rPr>
        <w:t>- Comisión Ambiental de la Megalópolis. (2020, 28 de mayo). Índice Aire y Salud: características y aplicación [Documento informativo]. Gobierno de México. Recuperado de https://www.gob.mx/cms/uploads/attachment/file/554425/comunicado_indice_calidad_aire_05_2020_FINAL_v3.pdf</w:t>
      </w:r>
    </w:p>
    <w:p>
      <w:pPr>
        <w:spacing w:after="120"/>
        <w:ind w:left="320" w:hanging="320"/>
      </w:pPr>
      <w:r>
        <w:rPr>
          <w:rFonts w:ascii="Calibri" w:hAnsi="Calibri" w:eastAsia="Calibri"/>
          <w:b w:val="0"/>
          <w:i w:val="0"/>
          <w:color w:val="324D59"/>
          <w:sz w:val="20"/>
        </w:rPr>
        <w:t>- DOF - Diario Oficial de la Federación. (2021). Dof.Gob.Mx. https://dof.gob.mx/nota_detalle_popup.php?codigo=5634084</w:t>
      </w:r>
    </w:p>
    <w:sectPr w:rsidR="00FC693F" w:rsidRPr="0006063C" w:rsidSect="00034616">
      <w:headerReference w:type="default" r:id="rId9"/>
      <w:footerReference w:type="default" r:id="rId10"/>
      <w:pgSz w:w="12240" w:h="15840"/>
      <w:pgMar w:top="1361"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C8894"/>
        <w:sz w:val="16"/>
      </w:rPr>
      <w:t xml:space="preserve">Sistema de Monitoreo Atmosférico de Jalisco (SIMAJ)  ·  Página </w:t>
    </w:r>
    <w:r>
      <w:rPr>
        <w:rFonts w:ascii="Calibri" w:hAnsi="Calibri" w:eastAsia="Calibri"/>
        <w:color w:val="6C8894"/>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Calibri"/>
        <w:b w:val="0"/>
        <w:i w:val="0"/>
        <w:color w:val="6C8894"/>
        <w:sz w:val="16"/>
      </w:rPr>
      <w:t>SIMAJ · JALISCO  |  Informe Anual de Calidad del Aire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73D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73D4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