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1e8670bdc846b3afcb304b98a4cac1b41c9779"/>
    <w:p>
      <w:pPr>
        <w:pStyle w:val="Heading1"/>
      </w:pPr>
      <w:r>
        <w:t xml:space="preserve">Documentación del Módulo: Objetos y Modelos de Datos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Modelar entidades del dominio con dataclasses, aplicar validación y serialización con Pydantic, y transformar datos entre modelos y entidades.</w:t>
      </w:r>
    </w:p>
    <w:p>
      <w:r>
        <w:pict>
          <v:rect style="width:0;height:1.5pt" o:hralign="center" o:hrstd="t" o:hr="t"/>
        </w:pict>
      </w:r>
    </w:p>
    <w:bookmarkEnd w:id="20"/>
    <w:bookmarkStart w:id="21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Este módulo abarca:</w:t>
      </w:r>
    </w:p>
    <w:p>
      <w:pPr>
        <w:numPr>
          <w:ilvl w:val="0"/>
          <w:numId w:val="1001"/>
        </w:numPr>
        <w:pStyle w:val="Compact"/>
      </w:pPr>
      <w:r>
        <w:t xml:space="preserve">Definición de clases usando</w:t>
      </w:r>
      <w:r>
        <w:t xml:space="preserve"> </w:t>
      </w:r>
      <w:r>
        <w:rPr>
          <w:rStyle w:val="VerbatimChar"/>
        </w:rPr>
        <w:t xml:space="preserve">dataclasses</w:t>
      </w:r>
      <w:r>
        <w:t xml:space="preserve"> </w:t>
      </w:r>
      <w:r>
        <w:t xml:space="preserve">para representar entidades con comportamientos y propiedades.</w:t>
      </w:r>
    </w:p>
    <w:p>
      <w:pPr>
        <w:numPr>
          <w:ilvl w:val="0"/>
          <w:numId w:val="1001"/>
        </w:numPr>
        <w:pStyle w:val="Compact"/>
      </w:pPr>
      <w:r>
        <w:t xml:space="preserve">Uso de Pydantic para validar datos de entrada/salida con esquemas que aseguran integridad.</w:t>
      </w:r>
    </w:p>
    <w:p>
      <w:pPr>
        <w:numPr>
          <w:ilvl w:val="0"/>
          <w:numId w:val="1001"/>
        </w:numPr>
        <w:pStyle w:val="Compact"/>
      </w:pPr>
      <w:r>
        <w:t xml:space="preserve">Conversión entre modelos Pydantic y objetos de dominio para mantener separación de responsabilidades.</w:t>
      </w:r>
    </w:p>
    <w:p>
      <w:r>
        <w:pict>
          <v:rect style="width:0;height:1.5pt" o:hralign="center" o:hrstd="t" o:hr="t"/>
        </w:pict>
      </w:r>
    </w:p>
    <w:bookmarkEnd w:id="21"/>
    <w:bookmarkStart w:id="22" w:name="código-implementado"/>
    <w:p>
      <w:pPr>
        <w:pStyle w:val="Heading2"/>
      </w:pPr>
      <w:r>
        <w:t xml:space="preserve">Código Implementado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conint, confloat</w:t>
      </w:r>
      <w:r>
        <w:br/>
      </w:r>
      <w:r>
        <w:br/>
      </w:r>
      <w:r>
        <w:rPr>
          <w:rStyle w:val="CommentTok"/>
        </w:rPr>
        <w:t xml:space="preserve"># Dataclasses para entidad de dominio</w:t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(order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OrderItem:</w:t>
      </w:r>
      <w:r>
        <w:br/>
      </w:r>
      <w:r>
        <w:rPr>
          <w:rStyle w:val="NormalTok"/>
        </w:rPr>
        <w:t xml:space="preserve">    product: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(order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items: List[OrderItem]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(item.total_price()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OrderItem):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.items.append(item)</w:t>
      </w:r>
      <w:r>
        <w:br/>
      </w:r>
      <w:r>
        <w:br/>
      </w:r>
      <w:r>
        <w:rPr>
          <w:rStyle w:val="CommentTok"/>
        </w:rPr>
        <w:t xml:space="preserve"># Modelos Pydantic para validación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OrderItemIn(BaseModel):</w:t>
      </w:r>
      <w:r>
        <w:br/>
      </w:r>
      <w:r>
        <w:rPr>
          <w:rStyle w:val="NormalTok"/>
        </w:rPr>
        <w:t xml:space="preserve">    product: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quantity: conint(gt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price: confloat(gt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OrderIn(BaseModel):</w:t>
      </w:r>
      <w:r>
        <w:br/>
      </w:r>
      <w:r>
        <w:rPr>
          <w:rStyle w:val="NormalTok"/>
        </w:rPr>
        <w:t xml:space="preserve">    customer: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items: List[OrderItemIn]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OrderItemOut(OrderItemIn):</w:t>
      </w:r>
      <w:r>
        <w:br/>
      </w:r>
      <w:r>
        <w:rPr>
          <w:rStyle w:val="NormalTok"/>
        </w:rPr>
        <w:t xml:space="preserve">    total_price: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items: List[OrderItemOut]</w:t>
      </w:r>
      <w:r>
        <w:br/>
      </w:r>
      <w:r>
        <w:rPr>
          <w:rStyle w:val="NormalTok"/>
        </w:rPr>
        <w:t xml:space="preserve">    total: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CommentTok"/>
        </w:rPr>
        <w:t xml:space="preserve"># Funciones de conversión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from_orderin_to_order(order_in: OrderIn,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[OrderItem(product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item.product,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item.quantity, 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item.price)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order_in.items]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order_id, customer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order_in.customer,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from_order_to_orderout(order: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OrderOut:</w:t>
      </w:r>
      <w:r>
        <w:br/>
      </w:r>
      <w:r>
        <w:rPr>
          <w:rStyle w:val="NormalTok"/>
        </w:rPr>
        <w:t xml:space="preserve">    items_out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[OrderItemOut(product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item.product,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item.quantity, 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item.price, total_price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item.total_price())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order.items]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OrderOut(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customer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order.customer,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items_out,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order.total)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order_in_data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"Juan Pérez"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1200.0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25.5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order_in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order_in_data)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from_orderin_to_order(order_in, order_id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order_out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from_order_to_orderout(order)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"Orden creada:"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(order_out.model_dump_json(indent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2"/>
    <w:bookmarkStart w:id="23" w:name="cómo-usar"/>
    <w:p>
      <w:pPr>
        <w:pStyle w:val="Heading2"/>
      </w:pPr>
      <w:r>
        <w:t xml:space="preserve">Cómo usar</w:t>
      </w:r>
    </w:p>
    <w:p>
      <w:pPr>
        <w:numPr>
          <w:ilvl w:val="0"/>
          <w:numId w:val="1002"/>
        </w:numPr>
        <w:pStyle w:val="Compact"/>
      </w:pPr>
      <w:r>
        <w:t xml:space="preserve">Guardar el script</w:t>
      </w:r>
      <w:r>
        <w:t xml:space="preserve"> </w:t>
      </w:r>
      <w:r>
        <w:rPr>
          <w:rStyle w:val="VerbatimChar"/>
        </w:rPr>
        <w:t xml:space="preserve">objetos_modelos.py</w:t>
      </w:r>
      <w:r>
        <w:t xml:space="preserve"> </w:t>
      </w:r>
      <w:r>
        <w:t xml:space="preserve">en la carpeta correspondiente.</w:t>
      </w:r>
    </w:p>
    <w:p>
      <w:pPr>
        <w:numPr>
          <w:ilvl w:val="0"/>
          <w:numId w:val="1002"/>
        </w:numPr>
        <w:pStyle w:val="Compact"/>
      </w:pPr>
      <w:r>
        <w:t xml:space="preserve">Ejecutar con: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objetos_modelos.py</w:t>
      </w:r>
    </w:p>
    <w:p>
      <w:pPr>
        <w:numPr>
          <w:ilvl w:val="0"/>
          <w:numId w:val="1003"/>
        </w:numPr>
        <w:pStyle w:val="Compact"/>
      </w:pPr>
      <w:r>
        <w:t xml:space="preserve">Observar la salida JSON de la orden creada con totales calculados.</w:t>
      </w:r>
    </w:p>
    <w:p>
      <w:r>
        <w:pict>
          <v:rect style="width:0;height:1.5pt" o:hralign="center" o:hrstd="t" o:hr="t"/>
        </w:pict>
      </w:r>
    </w:p>
    <w:bookmarkEnd w:id="23"/>
    <w:bookmarkStart w:id="24" w:name="conceptos-aplicados"/>
    <w:p>
      <w:pPr>
        <w:pStyle w:val="Heading2"/>
      </w:pPr>
      <w:r>
        <w:t xml:space="preserve">Conceptos aplicados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dataclasses</w:t>
      </w:r>
      <w:r>
        <w:t xml:space="preserve"> </w:t>
      </w:r>
      <w:r>
        <w:t xml:space="preserve">para definición simple y comparaciones de clases.</w:t>
      </w:r>
    </w:p>
    <w:p>
      <w:pPr>
        <w:numPr>
          <w:ilvl w:val="0"/>
          <w:numId w:val="1004"/>
        </w:numPr>
        <w:pStyle w:val="Compact"/>
      </w:pPr>
      <w:r>
        <w:t xml:space="preserve">Pydantic para esquemas robustos de validación y serialización.</w:t>
      </w:r>
    </w:p>
    <w:p>
      <w:pPr>
        <w:numPr>
          <w:ilvl w:val="0"/>
          <w:numId w:val="1004"/>
        </w:numPr>
        <w:pStyle w:val="Compact"/>
      </w:pPr>
      <w:r>
        <w:t xml:space="preserve">Separación clara entre datos de entrada/salida y entidades del dominio.</w:t>
      </w:r>
    </w:p>
    <w:p>
      <w:pPr>
        <w:numPr>
          <w:ilvl w:val="0"/>
          <w:numId w:val="1004"/>
        </w:numPr>
        <w:pStyle w:val="Compact"/>
      </w:pPr>
      <w:r>
        <w:t xml:space="preserve">Propiedades y métodos para cálculos derivados en entidades.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 documentación respalda la implementación del módulo 4 en tu proyecto.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2026-09-23T19:07:40Z</dcterms:created>
  <dcterms:modified xsi:type="dcterms:W3CDTF">2026-09-23T19:07:40Z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