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E6FA2" w14:textId="77777777" w:rsidR="00A16356" w:rsidRPr="00A16356" w:rsidRDefault="00A16356" w:rsidP="003B3969">
      <w:pPr>
        <w:pStyle w:val="1"/>
      </w:pPr>
      <w:r w:rsidRPr="00A16356">
        <w:t>Научно-теоретическая составляющая проекта</w:t>
      </w:r>
    </w:p>
    <w:p w14:paraId="4A7D422A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FDBD1E" w14:textId="35384C51" w:rsidR="00A16356" w:rsidRPr="00A16356" w:rsidRDefault="00A16356" w:rsidP="003B3969">
      <w:pPr>
        <w:pStyle w:val="2"/>
      </w:pPr>
      <w:r w:rsidRPr="00A16356">
        <w:t>Актуальность</w:t>
      </w:r>
    </w:p>
    <w:p w14:paraId="7210DEBA" w14:textId="6504B458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 xml:space="preserve">Настоящий проект направлен на разрешение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>фундаментального</w:t>
      </w:r>
      <w:r w:rsidRPr="00A16356">
        <w:rPr>
          <w:rFonts w:ascii="Times New Roman" w:hAnsi="Times New Roman" w:cs="Times New Roman"/>
          <w:sz w:val="28"/>
          <w:szCs w:val="28"/>
        </w:rPr>
        <w:t xml:space="preserve"> противоречия, сложившегося в практике преподавания зарубежной литературы XIX века. Существующие учебные пособия и академические курсы оперируют устоявшейся терминологией, описывающей ключевые художественные направления (романтизм, реализм, натурализм, символизм и т.д.). Однако, как показывает анализ, функционирование этих терминов сопряжено с рядом критических проблем.</w:t>
      </w:r>
    </w:p>
    <w:p w14:paraId="2D5924AA" w14:textId="5BED8BBF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 xml:space="preserve">Во-первых, наблюдается отчетливая семантическая размытость ряда центральных понятий. Как показывают исследования школы исторической поэтики [Аверинцев и др., 1994], категории поэтики претерпевают значительные трансформации при смене эпох, однако в учебной литературе такие конструкты, как «романтический герой» или «диалектика души», зачастую лишены строгой дефиниции. Это приводит к тому, что специфическое понятие реалистической психологической прозы, теоретически осмысленное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>еще</w:t>
      </w:r>
      <w:r w:rsidRPr="00A16356">
        <w:rPr>
          <w:rFonts w:ascii="Times New Roman" w:hAnsi="Times New Roman" w:cs="Times New Roman"/>
          <w:sz w:val="28"/>
          <w:szCs w:val="28"/>
        </w:rPr>
        <w:t xml:space="preserve"> [Л.Я. Гинзбург (2016)], применяется студентами к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 xml:space="preserve">литературе романтизма </w:t>
      </w:r>
      <w:r w:rsidRPr="00A16356">
        <w:rPr>
          <w:rFonts w:ascii="Times New Roman" w:hAnsi="Times New Roman" w:cs="Times New Roman"/>
          <w:sz w:val="28"/>
          <w:szCs w:val="28"/>
        </w:rPr>
        <w:t>без учета принципиально иной природы психологизма.</w:t>
      </w:r>
    </w:p>
    <w:p w14:paraId="6BAEAFE3" w14:textId="351E365D" w:rsidR="00A16356" w:rsidRPr="008828E4" w:rsidRDefault="00A16356" w:rsidP="008828E4">
      <w:pPr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8828E4">
        <w:rPr>
          <w:rFonts w:ascii="Times New Roman" w:hAnsi="Times New Roman" w:cs="Times New Roman"/>
          <w:color w:val="EE0000"/>
          <w:sz w:val="28"/>
          <w:szCs w:val="28"/>
        </w:rPr>
        <w:t xml:space="preserve">Во-вторых, отсутствует единая система дифференциации для семантически смежных, но методологически разнородных понятий. В учебных работах наблюдается терминологическая омонимия, когда, например, категории «готического», «фантастического» и «фантасмагорического» в поэтике Э.Т.А. Гофмана и Э. По употребляются синонимично, тогда как исследования поэтики неканонического и </w:t>
      </w:r>
      <w:proofErr w:type="spellStart"/>
      <w:r w:rsidRPr="008828E4">
        <w:rPr>
          <w:rFonts w:ascii="Times New Roman" w:hAnsi="Times New Roman" w:cs="Times New Roman"/>
          <w:color w:val="EE0000"/>
          <w:sz w:val="28"/>
          <w:szCs w:val="28"/>
        </w:rPr>
        <w:t>фронтирного</w:t>
      </w:r>
      <w:proofErr w:type="spellEnd"/>
      <w:r w:rsidRPr="008828E4">
        <w:rPr>
          <w:rFonts w:ascii="Times New Roman" w:hAnsi="Times New Roman" w:cs="Times New Roman"/>
          <w:color w:val="EE0000"/>
          <w:sz w:val="28"/>
          <w:szCs w:val="28"/>
        </w:rPr>
        <w:t xml:space="preserve"> искусства требуют разграничения исторически изменчивых категорий [Лосев, 1994].</w:t>
      </w:r>
    </w:p>
    <w:p w14:paraId="3AD91076" w14:textId="127FEE71" w:rsidR="008A5F62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>В-третьих, не учитывается диахроническая эволюция самих терминов внутри столетия. Содержание понятия «реализм» в 1830-е годы (эпоха манифестов Стендаля и Бальзака) качественно отличается от его наполнения в 1890-е, на этапе кризиса жанровых систем и переходе к натурализму и символизму [Толмачёв, 2020; История литературы XIX века, 2012]. Игнорирование этой динамики приводит к анахронизмам.</w:t>
      </w:r>
    </w:p>
    <w:p w14:paraId="2F02A13B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lastRenderedPageBreak/>
        <w:t>Таким образом, научная проблема заключается в неполноте и противоречивости понятийного аппарата, используемого при анализе текстов XIX века, что диктует необходимость создания систематизированного, историко-литературного глоссария нового типа.</w:t>
      </w:r>
    </w:p>
    <w:p w14:paraId="12F02BE1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FF5356" w14:textId="37821119" w:rsidR="00A16356" w:rsidRPr="00A16356" w:rsidRDefault="00A16356" w:rsidP="003B3969">
      <w:pPr>
        <w:pStyle w:val="2"/>
      </w:pPr>
      <w:r w:rsidRPr="00A16356">
        <w:t>Объект и предмет исследования</w:t>
      </w:r>
    </w:p>
    <w:p w14:paraId="5B2CCC7A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 xml:space="preserve">Объект: Корпус ключевых литературоведческих понятий, применяемых к анализу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>зарубежной литературы 1800–1900 годов</w:t>
      </w:r>
      <w:r w:rsidRPr="00A16356">
        <w:rPr>
          <w:rFonts w:ascii="Times New Roman" w:hAnsi="Times New Roman" w:cs="Times New Roman"/>
          <w:sz w:val="28"/>
          <w:szCs w:val="28"/>
        </w:rPr>
        <w:t>.</w:t>
      </w:r>
    </w:p>
    <w:p w14:paraId="60AD5409" w14:textId="77777777" w:rsidR="00A16356" w:rsidRPr="008828E4" w:rsidRDefault="00A16356" w:rsidP="008828E4">
      <w:pPr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8828E4">
        <w:rPr>
          <w:rFonts w:ascii="Times New Roman" w:hAnsi="Times New Roman" w:cs="Times New Roman"/>
          <w:color w:val="EE0000"/>
          <w:sz w:val="28"/>
          <w:szCs w:val="28"/>
        </w:rPr>
        <w:t xml:space="preserve">Предмет: Генезис, семантическая структура и </w:t>
      </w:r>
      <w:proofErr w:type="spellStart"/>
      <w:r w:rsidRPr="008828E4">
        <w:rPr>
          <w:rFonts w:ascii="Times New Roman" w:hAnsi="Times New Roman" w:cs="Times New Roman"/>
          <w:color w:val="EE0000"/>
          <w:sz w:val="28"/>
          <w:szCs w:val="28"/>
        </w:rPr>
        <w:t>межпарадигмальные</w:t>
      </w:r>
      <w:proofErr w:type="spellEnd"/>
      <w:r w:rsidRPr="008828E4">
        <w:rPr>
          <w:rFonts w:ascii="Times New Roman" w:hAnsi="Times New Roman" w:cs="Times New Roman"/>
          <w:color w:val="EE0000"/>
          <w:sz w:val="28"/>
          <w:szCs w:val="28"/>
        </w:rPr>
        <w:t xml:space="preserve"> связи этих понятий. В частности, в фокусе исследования находится механизм трансформации содержания термина при переходе от одной художественной системы к другой (например, как категория «ирония» в эстетике йенских романтиков, зафиксированная в теоретических трудах Ф. Шлегеля, трансформируется в бальзаковскую «иронию судьбы» в рамках реалистического социального детерминизма).</w:t>
      </w:r>
    </w:p>
    <w:p w14:paraId="747DD6CD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F5F5AE" w14:textId="1BAC7636" w:rsidR="00A16356" w:rsidRPr="00A16356" w:rsidRDefault="00A16356" w:rsidP="003B3969">
      <w:pPr>
        <w:pStyle w:val="2"/>
      </w:pPr>
      <w:r w:rsidRPr="00A16356">
        <w:t>Методология исследования</w:t>
      </w:r>
    </w:p>
    <w:p w14:paraId="432D5788" w14:textId="2378A6EB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>Методологическая база проекта носит комплексный характер, что обусловлено самим предметом изучения, требующим синтеза исторической поэтики, компаративистики и лексикографии.</w:t>
      </w:r>
    </w:p>
    <w:p w14:paraId="085719B1" w14:textId="38F1BB1C" w:rsidR="00A16356" w:rsidRPr="008A5F62" w:rsidRDefault="00A16356" w:rsidP="003B3969">
      <w:pPr>
        <w:pStyle w:val="3"/>
      </w:pPr>
      <w:r w:rsidRPr="00A16356">
        <w:t>Историко-терминологический метод.</w:t>
      </w:r>
    </w:p>
    <w:p w14:paraId="4B5BFE1A" w14:textId="1A273786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>Является базовым для проекта. Он предполагает прослеживание «биографии термина» от момента его первого употребления (включая авторские дефиниции в литературных манифестах, предисловиях, критических статьях) до фиксации его значения на рубеже столетий. Данный подход базируется на принципах исторической поэтики, сформулированных в труде «Категории поэтики в смене литературных эпох», позволяя фиксировать не застывшее словарное значение, а динамический смысловой спектр [Аверинцев и др., 1994].</w:t>
      </w:r>
    </w:p>
    <w:p w14:paraId="06BA3701" w14:textId="34DB6C9A" w:rsidR="00A16356" w:rsidRPr="008828E4" w:rsidRDefault="00A16356" w:rsidP="003B3969">
      <w:pPr>
        <w:pStyle w:val="3"/>
      </w:pPr>
      <w:r w:rsidRPr="008828E4">
        <w:t>Сравнительно-типологический анализ.</w:t>
      </w:r>
    </w:p>
    <w:p w14:paraId="2065AA3B" w14:textId="590699B9" w:rsidR="00A16356" w:rsidRPr="008828E4" w:rsidRDefault="00A16356" w:rsidP="008828E4">
      <w:pPr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8828E4">
        <w:rPr>
          <w:rFonts w:ascii="Times New Roman" w:hAnsi="Times New Roman" w:cs="Times New Roman"/>
          <w:color w:val="EE0000"/>
          <w:sz w:val="28"/>
          <w:szCs w:val="28"/>
        </w:rPr>
        <w:t xml:space="preserve">Применяется для сопоставления трактовок и функционирования одного и того же термина в различных национальных академических школах и литературных контекстах. Учитывая, что зарубежная литература XIX века представлена, прежде всего, французским, английским, немецким и русским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lastRenderedPageBreak/>
        <w:t>дискурсами, именно компаративный метод позволяет избежать национальной замкнутости интерпретаций и выявить как типологические схождения, так и уникальную специфику понятий [Теория литературы, 2005].</w:t>
      </w:r>
    </w:p>
    <w:p w14:paraId="7C656F30" w14:textId="6D52F1AD" w:rsidR="00A16356" w:rsidRPr="008828E4" w:rsidRDefault="00A16356" w:rsidP="003B3969">
      <w:pPr>
        <w:pStyle w:val="3"/>
      </w:pPr>
      <w:r w:rsidRPr="008828E4">
        <w:t>Элементы корпусного анализа.</w:t>
      </w:r>
    </w:p>
    <w:p w14:paraId="4F5B64B4" w14:textId="4FEF6982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8828E4">
        <w:rPr>
          <w:rFonts w:ascii="Times New Roman" w:hAnsi="Times New Roman" w:cs="Times New Roman"/>
          <w:color w:val="EE0000"/>
          <w:sz w:val="28"/>
          <w:szCs w:val="28"/>
        </w:rPr>
        <w:t>В рамках проекта используется квантитативный подход для верификации качественных гипотез. Предполагается анализ частотности употребления конкретных терминов в репрезентативном корпусе оригинальных текстов ключевых критиков (Белинский, Сент-</w:t>
      </w:r>
      <w:proofErr w:type="spellStart"/>
      <w:r w:rsidRPr="008828E4">
        <w:rPr>
          <w:rFonts w:ascii="Times New Roman" w:hAnsi="Times New Roman" w:cs="Times New Roman"/>
          <w:color w:val="EE0000"/>
          <w:sz w:val="28"/>
          <w:szCs w:val="28"/>
        </w:rPr>
        <w:t>Бёв</w:t>
      </w:r>
      <w:proofErr w:type="spellEnd"/>
      <w:r w:rsidRPr="008828E4">
        <w:rPr>
          <w:rFonts w:ascii="Times New Roman" w:hAnsi="Times New Roman" w:cs="Times New Roman"/>
          <w:color w:val="EE0000"/>
          <w:sz w:val="28"/>
          <w:szCs w:val="28"/>
        </w:rPr>
        <w:t>, Лессинг, Мэтью Арнольд) и самих художников слова (предисловия О. де Бальзака, манифесты В. Гюго, письма Г. Флобера, теоретические работы А. Белого). Данный инструментарий позволяет установить степень востребованности и хронологические пики актуализации того или иного понятия</w:t>
      </w:r>
      <w:r w:rsidRPr="00A16356">
        <w:rPr>
          <w:rFonts w:ascii="Times New Roman" w:hAnsi="Times New Roman" w:cs="Times New Roman"/>
          <w:sz w:val="28"/>
          <w:szCs w:val="28"/>
        </w:rPr>
        <w:t>.</w:t>
      </w:r>
    </w:p>
    <w:p w14:paraId="4909CADA" w14:textId="1F7C81DD" w:rsidR="00A16356" w:rsidRPr="008A5F62" w:rsidRDefault="00A16356" w:rsidP="003B3969">
      <w:pPr>
        <w:pStyle w:val="3"/>
      </w:pPr>
      <w:r w:rsidRPr="00A16356">
        <w:t>Принципы лексикографической репрезентации.</w:t>
      </w:r>
    </w:p>
    <w:p w14:paraId="17B7DC53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 xml:space="preserve">При создании многоуровневого глоссария мы опираемся на научные требования к терминологическим словарям [Литературная энциклопедия терминов и понятий, 2001]. Это подразумевает четкие критерии отбора дефиниций, выработку системы перекрестных отсылок между концептуально связанными статьями, а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>также формирование иллюстративного корпуса, где каждая дефиниция эксплицируется через развернутый пример анализа конкретного художественного произведения</w:t>
      </w:r>
      <w:r w:rsidRPr="00A16356">
        <w:rPr>
          <w:rFonts w:ascii="Times New Roman" w:hAnsi="Times New Roman" w:cs="Times New Roman"/>
          <w:sz w:val="28"/>
          <w:szCs w:val="28"/>
        </w:rPr>
        <w:t>.</w:t>
      </w:r>
    </w:p>
    <w:p w14:paraId="038C16D3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902E37" w14:textId="65A2B591" w:rsidR="008A5F62" w:rsidRPr="00A16356" w:rsidRDefault="00A16356" w:rsidP="003B3969">
      <w:pPr>
        <w:pStyle w:val="2"/>
      </w:pPr>
      <w:r w:rsidRPr="00A16356">
        <w:t>Научная новизна</w:t>
      </w:r>
    </w:p>
    <w:p w14:paraId="38E79B90" w14:textId="5C85EED0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 xml:space="preserve">Научная новизна проекта определяется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>новаторским</w:t>
      </w:r>
      <w:r w:rsidRPr="00A16356">
        <w:rPr>
          <w:rFonts w:ascii="Times New Roman" w:hAnsi="Times New Roman" w:cs="Times New Roman"/>
          <w:sz w:val="28"/>
          <w:szCs w:val="28"/>
        </w:rPr>
        <w:t xml:space="preserve"> подходом к систематизации литературоведческого знания XIX века:</w:t>
      </w:r>
    </w:p>
    <w:p w14:paraId="63A34DAA" w14:textId="0DCF9AC9" w:rsidR="00A16356" w:rsidRPr="00A16356" w:rsidRDefault="00A16356" w:rsidP="003B3969">
      <w:pPr>
        <w:pStyle w:val="3"/>
      </w:pPr>
      <w:r w:rsidRPr="00A16356">
        <w:t>Многоуровневая архитектура глоссария</w:t>
      </w:r>
    </w:p>
    <w:p w14:paraId="2B336D6A" w14:textId="77777777" w:rsidR="00A90457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 xml:space="preserve">В отличие от традиционных алфавитных словарей, впервые составляется глоссарий, где термины группируются не формально, а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 xml:space="preserve">по концептуальным блокам, артикулирующим магистральные историко-культурные парадигмы </w:t>
      </w:r>
      <w:r w:rsidRPr="00A16356">
        <w:rPr>
          <w:rFonts w:ascii="Times New Roman" w:hAnsi="Times New Roman" w:cs="Times New Roman"/>
          <w:sz w:val="28"/>
          <w:szCs w:val="28"/>
        </w:rPr>
        <w:t xml:space="preserve">(«Эстетика романтизма: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двоемирие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 xml:space="preserve"> и ирония», «Поэтика реализма: типизация и детерминизм», «Кризис жанров на рубеже веков: потоки сознания и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неомифологизм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>»). Это отражает стремление представить не сумму разрозненных понятий, а целостную систему — «сетку» литературоведческого мышления эпохи, что согласуется с идеями исторической типологии культуры [Смирнов, 2000].</w:t>
      </w:r>
    </w:p>
    <w:p w14:paraId="1E2B2A5F" w14:textId="16F0C3B0" w:rsidR="00A16356" w:rsidRPr="00A90457" w:rsidRDefault="00A16356" w:rsidP="003B3969">
      <w:pPr>
        <w:pStyle w:val="3"/>
      </w:pPr>
      <w:r w:rsidRPr="00A90457">
        <w:lastRenderedPageBreak/>
        <w:t>Комплексная структура словарной статьи.</w:t>
      </w:r>
    </w:p>
    <w:p w14:paraId="5824BF87" w14:textId="61A97645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>Каждая единица описания включает не только актуальную дефиницию, но и этимологическую справку, хронологию семантической эволюции, а также обязательную отсылку к первому тексту-источнику, где термин получил теоретическую огласовку, и пример его функционального бытования в художественной ткани произведения.</w:t>
      </w:r>
    </w:p>
    <w:p w14:paraId="14D489DE" w14:textId="0D93517D" w:rsidR="00A16356" w:rsidRPr="00A90457" w:rsidRDefault="00A16356" w:rsidP="003B3969">
      <w:pPr>
        <w:pStyle w:val="3"/>
      </w:pPr>
      <w:r w:rsidRPr="00A90457">
        <w:t>Введение параметра терминологической устойчивости.</w:t>
      </w:r>
    </w:p>
    <w:p w14:paraId="38B9CBBC" w14:textId="77777777" w:rsid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 xml:space="preserve">В научный оборот вводится градуальный параметр, позволяющий дифференцировать термины на ядерные (общепринятые, воспроизводимые в любой парадигме, например, «жанр», «композиция»), периферийные (актуальные лишь для одного направления) и авторские неологизмы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 xml:space="preserve">(такие как «диалектика души» у Чернышевского или «интеллектуальная ирония» позднего романтизма). </w:t>
      </w:r>
      <w:r w:rsidRPr="00A16356">
        <w:rPr>
          <w:rFonts w:ascii="Times New Roman" w:hAnsi="Times New Roman" w:cs="Times New Roman"/>
          <w:sz w:val="28"/>
          <w:szCs w:val="28"/>
        </w:rPr>
        <w:t>Это позволяет решить проблему смешения масштаба понятий и избежать модернизации.</w:t>
      </w:r>
    </w:p>
    <w:p w14:paraId="01895781" w14:textId="77777777" w:rsidR="008A5F62" w:rsidRDefault="008A5F62" w:rsidP="008828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CD53AE" w14:textId="1DC5F779" w:rsidR="00A16356" w:rsidRPr="00A90457" w:rsidRDefault="00A16356" w:rsidP="003B3969">
      <w:pPr>
        <w:pStyle w:val="3"/>
      </w:pPr>
      <w:r w:rsidRPr="00A90457">
        <w:t>Теоретическая значимость.</w:t>
      </w:r>
    </w:p>
    <w:p w14:paraId="721004C3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 xml:space="preserve">Теоретическая значимость проекта заключается в уточнении и систематизации понятийного аппарата современного литературоведения применительно к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>литературе XIX века</w:t>
      </w:r>
      <w:r w:rsidRPr="00A16356">
        <w:rPr>
          <w:rFonts w:ascii="Times New Roman" w:hAnsi="Times New Roman" w:cs="Times New Roman"/>
          <w:sz w:val="28"/>
          <w:szCs w:val="28"/>
        </w:rPr>
        <w:t xml:space="preserve">. Разработанный глоссарий позволит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>исследователям</w:t>
      </w:r>
      <w:r w:rsidRPr="00A16356">
        <w:rPr>
          <w:rFonts w:ascii="Times New Roman" w:hAnsi="Times New Roman" w:cs="Times New Roman"/>
          <w:sz w:val="28"/>
          <w:szCs w:val="28"/>
        </w:rPr>
        <w:t xml:space="preserve"> и студентам избегать методологических анахронизмов — некорректного приписывания терминологического инструментария XX века (например, фрейдистского или экзистенциалистского категориального аппарата) писателям и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>мыслителям первой трети XIX столетия</w:t>
      </w:r>
      <w:r w:rsidRPr="00A16356">
        <w:rPr>
          <w:rFonts w:ascii="Times New Roman" w:hAnsi="Times New Roman" w:cs="Times New Roman"/>
          <w:sz w:val="28"/>
          <w:szCs w:val="28"/>
        </w:rPr>
        <w:t>. Тем самым проект вносит вклад в повышение методологической дисциплины литературоведческих исследований.</w:t>
      </w:r>
    </w:p>
    <w:p w14:paraId="6B93A2C6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D88263" w14:textId="77777777" w:rsidR="00A16356" w:rsidRPr="00A16356" w:rsidRDefault="00A16356" w:rsidP="003B3969">
      <w:pPr>
        <w:pStyle w:val="3"/>
      </w:pPr>
      <w:r w:rsidRPr="00A16356">
        <w:t>Практическая значимость</w:t>
      </w:r>
    </w:p>
    <w:p w14:paraId="220EDE91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sz w:val="28"/>
          <w:szCs w:val="28"/>
        </w:rPr>
        <w:t xml:space="preserve">Практическая ценность проекта состоит в создании открытого образовательного ресурса (ООР), целевой аудиторией которого являются студенты филологических факультетов, магистранты и </w:t>
      </w:r>
      <w:r w:rsidRPr="008828E4">
        <w:rPr>
          <w:rFonts w:ascii="Times New Roman" w:hAnsi="Times New Roman" w:cs="Times New Roman"/>
          <w:color w:val="EE0000"/>
          <w:sz w:val="28"/>
          <w:szCs w:val="28"/>
        </w:rPr>
        <w:t>преподаватели</w:t>
      </w:r>
      <w:r w:rsidRPr="00A16356">
        <w:rPr>
          <w:rFonts w:ascii="Times New Roman" w:hAnsi="Times New Roman" w:cs="Times New Roman"/>
          <w:sz w:val="28"/>
          <w:szCs w:val="28"/>
        </w:rPr>
        <w:t>. Благодаря гибкой архитектуре, глоссарий может функционировать как автономный веб-портал, как база данных, интегрируемая в LMS вуза (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 xml:space="preserve"> и аналоги), или выпускаться в формате интерактивного приложения к академическому учебнику по истории зарубежной литературы XIX века. Полученные результаты также могут быть использованы при разработке </w:t>
      </w:r>
      <w:r w:rsidRPr="00A16356">
        <w:rPr>
          <w:rFonts w:ascii="Times New Roman" w:hAnsi="Times New Roman" w:cs="Times New Roman"/>
          <w:sz w:val="28"/>
          <w:szCs w:val="28"/>
        </w:rPr>
        <w:lastRenderedPageBreak/>
        <w:t>учебных курсов по введению в литературоведение, исторической поэтике и компаративистике.</w:t>
      </w:r>
      <w:bookmarkStart w:id="0" w:name="_GoBack"/>
      <w:bookmarkEnd w:id="0"/>
    </w:p>
    <w:p w14:paraId="2F7D28E8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972A04" w14:textId="397564FB" w:rsidR="00A16356" w:rsidRPr="00A16356" w:rsidRDefault="00A16356" w:rsidP="003B3969">
      <w:pPr>
        <w:pStyle w:val="3"/>
      </w:pPr>
      <w:r>
        <w:t>Список литературы:</w:t>
      </w:r>
    </w:p>
    <w:p w14:paraId="7D14E086" w14:textId="29C86454" w:rsidR="00A16356" w:rsidRPr="00A16356" w:rsidRDefault="00A16356" w:rsidP="008828E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i/>
          <w:iCs/>
          <w:sz w:val="28"/>
          <w:szCs w:val="28"/>
        </w:rPr>
        <w:t>Аверинцев и др., 1994</w:t>
      </w:r>
      <w:r w:rsidRPr="00A16356">
        <w:rPr>
          <w:rFonts w:ascii="Times New Roman" w:hAnsi="Times New Roman" w:cs="Times New Roman"/>
          <w:sz w:val="28"/>
          <w:szCs w:val="28"/>
        </w:rPr>
        <w:t xml:space="preserve"> — Аверинцев, С. С. Категории поэтики в смене литературных эпох / С. С. Аверинцев, М. Л. Андреев, М. Л. Гаспаров [и др.] // Историческая поэтика. Литературные эпохи и типы художественного сознания. — М. : Наследие, 1994. — С. 3–38.</w:t>
      </w:r>
    </w:p>
    <w:p w14:paraId="29209AD7" w14:textId="045D41D0" w:rsidR="00A16356" w:rsidRPr="00A16356" w:rsidRDefault="00A16356" w:rsidP="008828E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i/>
          <w:iCs/>
          <w:sz w:val="28"/>
          <w:szCs w:val="28"/>
        </w:rPr>
        <w:t xml:space="preserve">Л.Я. Гинзбург (2016) </w:t>
      </w:r>
      <w:r w:rsidRPr="00A16356">
        <w:rPr>
          <w:rFonts w:ascii="Times New Roman" w:hAnsi="Times New Roman" w:cs="Times New Roman"/>
          <w:sz w:val="28"/>
          <w:szCs w:val="28"/>
        </w:rPr>
        <w:t>— Гинзбург, Л. Я. О психологической прозе. О литературном герое / Лидия Гинзбург. — СПб. : Азбука, 2016. — 701, [2] с.</w:t>
      </w:r>
    </w:p>
    <w:p w14:paraId="6BC8FEF3" w14:textId="7F17C201" w:rsidR="00A16356" w:rsidRPr="00A16356" w:rsidRDefault="00A16356" w:rsidP="008828E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i/>
          <w:iCs/>
          <w:sz w:val="28"/>
          <w:szCs w:val="28"/>
        </w:rPr>
        <w:t xml:space="preserve">Толмачёв, 2020 </w:t>
      </w:r>
      <w:r w:rsidRPr="00A16356">
        <w:rPr>
          <w:rFonts w:ascii="Times New Roman" w:hAnsi="Times New Roman" w:cs="Times New Roman"/>
          <w:sz w:val="28"/>
          <w:szCs w:val="28"/>
        </w:rPr>
        <w:t xml:space="preserve">— Зарубежная литература конца XIX — начала XX века : учебник для вузов / В. М. Толмачев, Г. К. Косиков, А. Ю. Зиновьева [и др.] ; под ред. В. М. Толмачева. — 3-е изд.,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 xml:space="preserve">. И доп. — М. : Издательство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>, 2020. — 811 с.</w:t>
      </w:r>
    </w:p>
    <w:p w14:paraId="5CAA4EBD" w14:textId="6B3FBF65" w:rsidR="00A16356" w:rsidRPr="00A16356" w:rsidRDefault="00A16356" w:rsidP="008828E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i/>
          <w:iCs/>
          <w:sz w:val="28"/>
          <w:szCs w:val="28"/>
        </w:rPr>
        <w:t>История литературы XIX века, 2012</w:t>
      </w:r>
      <w:r w:rsidRPr="00A16356">
        <w:rPr>
          <w:rFonts w:ascii="Times New Roman" w:hAnsi="Times New Roman" w:cs="Times New Roman"/>
          <w:sz w:val="28"/>
          <w:szCs w:val="28"/>
        </w:rPr>
        <w:t xml:space="preserve"> — История литературы XIX века : в 2 т. / Е. М.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Апенко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 xml:space="preserve">, А. Г. Березина, А. А.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Гугнин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 xml:space="preserve"> [и др.] ; под ред. Е. М.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Апенко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>. — М. : Академия, 2012.</w:t>
      </w:r>
    </w:p>
    <w:p w14:paraId="4984C526" w14:textId="6075A6C4" w:rsidR="00A16356" w:rsidRPr="00A16356" w:rsidRDefault="00A16356" w:rsidP="008828E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i/>
          <w:iCs/>
          <w:sz w:val="28"/>
          <w:szCs w:val="28"/>
        </w:rPr>
        <w:t xml:space="preserve">Лосев, 1994 </w:t>
      </w:r>
      <w:r w:rsidRPr="00A16356">
        <w:rPr>
          <w:rFonts w:ascii="Times New Roman" w:hAnsi="Times New Roman" w:cs="Times New Roman"/>
          <w:sz w:val="28"/>
          <w:szCs w:val="28"/>
        </w:rPr>
        <w:t xml:space="preserve">— Лосев, А. Ф. Проблема художественного стиля / А. Ф. Лосев ; сост. И авт. Предисл. А. А. Тахо-Годи. — Киев :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Collegium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>, 1994. — 285 с.</w:t>
      </w:r>
    </w:p>
    <w:p w14:paraId="2A64467D" w14:textId="04C702BE" w:rsidR="00A16356" w:rsidRPr="00A16356" w:rsidRDefault="00A16356" w:rsidP="008828E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i/>
          <w:iCs/>
          <w:sz w:val="28"/>
          <w:szCs w:val="28"/>
        </w:rPr>
        <w:t xml:space="preserve">Литературная энциклопедия терминов и понятий, 2001 </w:t>
      </w:r>
      <w:r w:rsidRPr="00A16356">
        <w:rPr>
          <w:rFonts w:ascii="Times New Roman" w:hAnsi="Times New Roman" w:cs="Times New Roman"/>
          <w:sz w:val="28"/>
          <w:szCs w:val="28"/>
        </w:rPr>
        <w:t xml:space="preserve">— Литературная энциклопедия терминов и понятий / Рос. Акад. Наук, Ин-т науч.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Информ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A16356">
        <w:rPr>
          <w:rFonts w:ascii="Times New Roman" w:hAnsi="Times New Roman" w:cs="Times New Roman"/>
          <w:sz w:val="28"/>
          <w:szCs w:val="28"/>
        </w:rPr>
        <w:t>По обществ</w:t>
      </w:r>
      <w:proofErr w:type="gramEnd"/>
      <w:r w:rsidRPr="00A16356">
        <w:rPr>
          <w:rFonts w:ascii="Times New Roman" w:hAnsi="Times New Roman" w:cs="Times New Roman"/>
          <w:sz w:val="28"/>
          <w:szCs w:val="28"/>
        </w:rPr>
        <w:t xml:space="preserve">. Наукам ; гл. ред. И сост. А. Н. Николюкин. — М. :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Интелвак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 xml:space="preserve">, 2001. — 1596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стб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>.</w:t>
      </w:r>
    </w:p>
    <w:p w14:paraId="2CC965F2" w14:textId="7AA86FFA" w:rsidR="00A16356" w:rsidRPr="00A16356" w:rsidRDefault="00A16356" w:rsidP="008828E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i/>
          <w:iCs/>
          <w:sz w:val="28"/>
          <w:szCs w:val="28"/>
        </w:rPr>
        <w:t xml:space="preserve">Смирнов, 2000 </w:t>
      </w:r>
      <w:r w:rsidRPr="00A16356">
        <w:rPr>
          <w:rFonts w:ascii="Times New Roman" w:hAnsi="Times New Roman" w:cs="Times New Roman"/>
          <w:sz w:val="28"/>
          <w:szCs w:val="28"/>
        </w:rPr>
        <w:t xml:space="preserve">— Смирнов, И. П.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Мегаистория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>. К исторической типологии культуры / И. П. Смирнов. — М. : Аграф, 2000. — 534, [10] с.</w:t>
      </w:r>
    </w:p>
    <w:p w14:paraId="4558BE45" w14:textId="77777777" w:rsidR="00A16356" w:rsidRPr="00A16356" w:rsidRDefault="00A16356" w:rsidP="008828E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6356">
        <w:rPr>
          <w:rFonts w:ascii="Times New Roman" w:hAnsi="Times New Roman" w:cs="Times New Roman"/>
          <w:i/>
          <w:iCs/>
          <w:sz w:val="28"/>
          <w:szCs w:val="28"/>
        </w:rPr>
        <w:t>Теория литературы, 2005</w:t>
      </w:r>
      <w:r w:rsidRPr="00A16356">
        <w:rPr>
          <w:rFonts w:ascii="Times New Roman" w:hAnsi="Times New Roman" w:cs="Times New Roman"/>
          <w:sz w:val="28"/>
          <w:szCs w:val="28"/>
        </w:rPr>
        <w:t xml:space="preserve"> — Теория литературы : в 2 т. / Рос. Акад. Наук, Ин-т мировой лит. Им. А. М. Горького ; гл. ред. Ю. Б. </w:t>
      </w:r>
      <w:proofErr w:type="spellStart"/>
      <w:r w:rsidRPr="00A16356">
        <w:rPr>
          <w:rFonts w:ascii="Times New Roman" w:hAnsi="Times New Roman" w:cs="Times New Roman"/>
          <w:sz w:val="28"/>
          <w:szCs w:val="28"/>
        </w:rPr>
        <w:t>Борев</w:t>
      </w:r>
      <w:proofErr w:type="spellEnd"/>
      <w:r w:rsidRPr="00A16356">
        <w:rPr>
          <w:rFonts w:ascii="Times New Roman" w:hAnsi="Times New Roman" w:cs="Times New Roman"/>
          <w:sz w:val="28"/>
          <w:szCs w:val="28"/>
        </w:rPr>
        <w:t>. — М. : ИМЛИ РАН, 2005.</w:t>
      </w:r>
    </w:p>
    <w:p w14:paraId="7888303C" w14:textId="77777777" w:rsidR="00A16356" w:rsidRPr="00A16356" w:rsidRDefault="00A16356" w:rsidP="008828E4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BAF5F77" w14:textId="77777777" w:rsidR="00A16356" w:rsidRPr="00A16356" w:rsidRDefault="00A16356" w:rsidP="008828E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16356" w:rsidRPr="00A16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6A31D6"/>
    <w:multiLevelType w:val="hybridMultilevel"/>
    <w:tmpl w:val="9954B4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044AC"/>
    <w:multiLevelType w:val="hybridMultilevel"/>
    <w:tmpl w:val="1FAA3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655"/>
    <w:multiLevelType w:val="hybridMultilevel"/>
    <w:tmpl w:val="82AEE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56"/>
    <w:rsid w:val="003B3969"/>
    <w:rsid w:val="003E10C9"/>
    <w:rsid w:val="008828E4"/>
    <w:rsid w:val="008A5F62"/>
    <w:rsid w:val="00946E45"/>
    <w:rsid w:val="00A16356"/>
    <w:rsid w:val="00A9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4987D"/>
  <w15:chartTrackingRefBased/>
  <w15:docId w15:val="{AC3103FE-CACA-EA46-B262-FBDCB63D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6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16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16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3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3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3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3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3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3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3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3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3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3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6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1395</Words>
  <Characters>7952</Characters>
  <Application>Microsoft Office Word</Application>
  <DocSecurity>0</DocSecurity>
  <Lines>66</Lines>
  <Paragraphs>18</Paragraphs>
  <ScaleCrop>false</ScaleCrop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Кочерова</dc:creator>
  <cp:keywords/>
  <dc:description/>
  <cp:lastModifiedBy>Илья Вдовский</cp:lastModifiedBy>
  <cp:revision>5</cp:revision>
  <dcterms:created xsi:type="dcterms:W3CDTF">2026-04-24T13:34:00Z</dcterms:created>
  <dcterms:modified xsi:type="dcterms:W3CDTF">2026-05-18T14:04:00Z</dcterms:modified>
</cp:coreProperties>
</file>