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Протоколы встреч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Обсуждаемые вопросы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Предоставление согласия банка на снос здания компании Столяр Заключение межкредиторского соглашения между компаниями Скараке, Миколаэс, Столяр и банком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Изменение целевого назначения кредита на строительство склада в городе Азов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Необходимость снятия обременений по договорам для сноса здания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Действие кредитного договора компании Квартал и необходимость подписания договора цессии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Отправка заявления в Росреестр на снятие обременения Корректировка межкредиторского соглашения Продление договора ипотеки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Определение необходимости корректировки отчетности компании Квартал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Построение дорожной карты после получения проектной документации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Текущие вопросы по внешнеэкономической деятельности (Турция, Индия)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Программа Навигатор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Договоренности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Банк отправляет заявление в Росреестр на снятие обременения.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Корректировка межкредиторского соглашения двумя подписями со стороны компании Столяр.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Продление договора ипотеки ещё на 30 дней.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Прислать образец доверенности для заключения договора ипотеки в электронном формате. 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Определиться с необходимостью корректировки отчетности компании Квартал.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Составление дорожной карты после предоставления проектной документации.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Возврат к обсуждению программы Навигатор.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Темы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обсуждение залоговой стоимости залога долей ООО Эскаро Кемикал АС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Обсуждаемые вопросы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Проблема снижения залоговой стоимости долей ГК Эскаро Кемикал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Объяснение разницы между оценочной стоимостью и залоговой стоимостью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Причины использования номинальной стоимости вместо рыночной стоимости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Практика применения бланкового залога и отсутствие принятия риска банком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Позиция клиента относительно покрытия обязательств перед банком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Проблематика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Клиент выразил обеспокоенность изменением залоговой стоимости своих долей, которая снизилась с первоначально установленной суммы до номинальной стоимости. Банк объяснил, что снижение связано с применением практики бланкового залога, при котором риски на обеспечение не принимаются. Однако клиент указал на необходимость учета залоговых средств при покрытии кредитных обязательств.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Договоренности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z w:val="20"/>
          <w:szCs w:val="20"/>
          <w:rtl w:val="0"/>
        </w:rPr>
        <w:t xml:space="preserve">В стенограмме отсутствуют зафиксированные договоренности.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