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Материалы для встречи с клиентом ООО ЭСКИМО КЕМИКАЛ АС (ИНН 78254750)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Общая информация по клиенту: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ЭСКИМО КЕМИКАЛ АС</w:t>
      </w:r>
      <w:r>
        <w:rPr>
          <w:rFonts w:ascii="Times New Roman" w:hAnsi="Times New Roman" w:cs="Times New Roman"/>
          <w:sz w:val="24"/>
        </w:rPr>
        <w:t xml:space="preserve"> — компания, зарегистрированная в Санкт-Петербурге, специализирующаяся на производстве красок и лаков на основе полимеров. Уставный капитал компании составляет 41 млн рублей. В 2024 году выручка компании достигла 2,7 млрд ру</w:t>
      </w:r>
      <w:r>
        <w:rPr>
          <w:rFonts w:ascii="Times New Roman" w:hAnsi="Times New Roman" w:cs="Times New Roman"/>
          <w:sz w:val="24"/>
        </w:rPr>
        <w:t xml:space="preserve">блей, что позволило ей занять 2-е место в Санкт-Петербурге и 27-е место в России в своей отрасли. Чистая прибыль за тот же период составила 116 млн рублей. Компания стабильно работает на рынке уже 26 лет, что свидетельствует о её надёжности и устойчивости.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1. Информация о холдинге клиента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Клиент входит в холдинг ГК ЭСКИМО КЕМИКАЛ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Сегмент холдинга</w:t>
      </w:r>
      <w:r>
        <w:rPr>
          <w:rFonts w:ascii="Times New Roman" w:hAnsi="Times New Roman" w:cs="Times New Roman"/>
          <w:sz w:val="24"/>
        </w:rPr>
        <w:t xml:space="preserve">: Средние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Приоритет холдинга</w:t>
      </w:r>
      <w:r>
        <w:rPr>
          <w:rFonts w:ascii="Times New Roman" w:hAnsi="Times New Roman" w:cs="Times New Roman"/>
          <w:sz w:val="24"/>
        </w:rPr>
        <w:t xml:space="preserve">: A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Отрасль холдинга</w:t>
      </w:r>
      <w:r>
        <w:rPr>
          <w:rFonts w:ascii="Times New Roman" w:hAnsi="Times New Roman" w:cs="Times New Roman"/>
          <w:sz w:val="24"/>
        </w:rPr>
        <w:t xml:space="preserve">: Химическая промышленность/Производство лаков и красок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Компания является частью холдинга, специализирующегося на производстве и реализации лакокрасочных материалов. Ключевой бизнес-сегмент холдинга — производство красок, шпатлёвок, грунтов, клеев и структурных штукатурок под торговыми марками </w:t>
      </w:r>
      <w:r>
        <w:rPr>
          <w:rFonts w:ascii="Times New Roman" w:hAnsi="Times New Roman" w:cs="Times New Roman"/>
          <w:sz w:val="24"/>
        </w:rPr>
        <w:t xml:space="preserve">Kapral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Aura</w:t>
      </w:r>
      <w:r>
        <w:rPr>
          <w:rFonts w:ascii="Times New Roman" w:hAnsi="Times New Roman" w:cs="Times New Roman"/>
          <w:sz w:val="24"/>
        </w:rPr>
        <w:t xml:space="preserve"> и </w:t>
      </w:r>
      <w:r>
        <w:rPr>
          <w:rFonts w:ascii="Times New Roman" w:hAnsi="Times New Roman" w:cs="Times New Roman"/>
          <w:sz w:val="24"/>
        </w:rPr>
        <w:t xml:space="preserve">Eskaro</w:t>
      </w:r>
      <w:r>
        <w:rPr>
          <w:rFonts w:ascii="Times New Roman" w:hAnsi="Times New Roman" w:cs="Times New Roman"/>
          <w:sz w:val="24"/>
        </w:rPr>
        <w:t xml:space="preserve">. Стратегически</w:t>
      </w:r>
      <w:r>
        <w:rPr>
          <w:rFonts w:ascii="Times New Roman" w:hAnsi="Times New Roman" w:cs="Times New Roman"/>
          <w:sz w:val="24"/>
        </w:rPr>
        <w:t xml:space="preserve">й фокус холдинга направлен на непрерывное улучшение качества продукции и сервиса, а также на разработку новых видов лакокрасочных материалов по заказу торговых организаций и производство краски под их торговой маркой (аутсорсинг, контрактное производство, </w:t>
      </w:r>
      <w:r>
        <w:rPr>
          <w:rFonts w:ascii="Times New Roman" w:hAnsi="Times New Roman" w:cs="Times New Roman"/>
          <w:sz w:val="24"/>
        </w:rPr>
        <w:t xml:space="preserve">private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label</w:t>
      </w:r>
      <w:r>
        <w:rPr>
          <w:rFonts w:ascii="Times New Roman" w:hAnsi="Times New Roman" w:cs="Times New Roman"/>
          <w:sz w:val="24"/>
        </w:rPr>
        <w:t xml:space="preserve"> и т.д.).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Финансовые показатели холдинга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Финансовые показатели консолидированной группы (2024 год):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Выручка</w:t>
      </w:r>
      <w:r>
        <w:rPr>
          <w:rFonts w:ascii="Times New Roman" w:hAnsi="Times New Roman" w:cs="Times New Roman"/>
          <w:sz w:val="24"/>
        </w:rPr>
        <w:t xml:space="preserve">: 2,95 млрд руб. (рост на 13,76%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Чистая прибыль</w:t>
      </w:r>
      <w:r>
        <w:rPr>
          <w:rFonts w:ascii="Times New Roman" w:hAnsi="Times New Roman" w:cs="Times New Roman"/>
          <w:sz w:val="24"/>
        </w:rPr>
        <w:t xml:space="preserve">: 127,9 млн руб. (снижение на 40,3%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Долг (</w:t>
      </w:r>
      <w:r>
        <w:rPr>
          <w:rFonts w:ascii="Times New Roman" w:hAnsi="Times New Roman" w:cs="Times New Roman"/>
          <w:b/>
          <w:bCs/>
          <w:sz w:val="24"/>
        </w:rPr>
        <w:t xml:space="preserve">Debt</w:t>
      </w:r>
      <w:r>
        <w:rPr>
          <w:rFonts w:ascii="Times New Roman" w:hAnsi="Times New Roman" w:cs="Times New Roman"/>
          <w:b/>
          <w:bCs/>
          <w:sz w:val="24"/>
        </w:rPr>
        <w:t xml:space="preserve">)</w:t>
      </w:r>
      <w:r>
        <w:rPr>
          <w:rFonts w:ascii="Times New Roman" w:hAnsi="Times New Roman" w:cs="Times New Roman"/>
          <w:sz w:val="24"/>
        </w:rPr>
        <w:t xml:space="preserve">: 801,49 млн руб. (снижение на 17,43%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EBITDA</w:t>
      </w:r>
      <w:r>
        <w:rPr>
          <w:rFonts w:ascii="Times New Roman" w:hAnsi="Times New Roman" w:cs="Times New Roman"/>
          <w:sz w:val="24"/>
        </w:rPr>
        <w:t xml:space="preserve">: 446,34 млн руб. (рост на 0,78%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Debt</w:t>
      </w:r>
      <w:r>
        <w:rPr>
          <w:rFonts w:ascii="Times New Roman" w:hAnsi="Times New Roman" w:cs="Times New Roman"/>
          <w:b/>
          <w:bCs/>
          <w:sz w:val="24"/>
        </w:rPr>
        <w:t xml:space="preserve">/EBITDA</w:t>
      </w:r>
      <w:r>
        <w:rPr>
          <w:rFonts w:ascii="Times New Roman" w:hAnsi="Times New Roman" w:cs="Times New Roman"/>
          <w:sz w:val="24"/>
        </w:rPr>
        <w:t xml:space="preserve">: 1,714028 (снижение на 18,34% за год)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Финансовые показатели холдинга (кредитуется, источник данных — ФОК):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Выручка</w:t>
      </w:r>
      <w:r>
        <w:rPr>
          <w:rFonts w:ascii="Times New Roman" w:hAnsi="Times New Roman" w:cs="Times New Roman"/>
          <w:sz w:val="24"/>
        </w:rPr>
        <w:t xml:space="preserve">: 2,61 млрд руб. (рост на 14,45%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Чистая прибыль</w:t>
      </w:r>
      <w:r>
        <w:rPr>
          <w:rFonts w:ascii="Times New Roman" w:hAnsi="Times New Roman" w:cs="Times New Roman"/>
          <w:sz w:val="24"/>
        </w:rPr>
        <w:t xml:space="preserve">: 126,21 млн руб. (снижение на 4,26%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Долг (</w:t>
      </w:r>
      <w:r>
        <w:rPr>
          <w:rFonts w:ascii="Times New Roman" w:hAnsi="Times New Roman" w:cs="Times New Roman"/>
          <w:b/>
          <w:bCs/>
          <w:sz w:val="24"/>
        </w:rPr>
        <w:t xml:space="preserve">Debt</w:t>
      </w:r>
      <w:r>
        <w:rPr>
          <w:rFonts w:ascii="Times New Roman" w:hAnsi="Times New Roman" w:cs="Times New Roman"/>
          <w:b/>
          <w:bCs/>
          <w:sz w:val="24"/>
        </w:rPr>
        <w:t xml:space="preserve">)</w:t>
      </w:r>
      <w:r>
        <w:rPr>
          <w:rFonts w:ascii="Times New Roman" w:hAnsi="Times New Roman" w:cs="Times New Roman"/>
          <w:sz w:val="24"/>
        </w:rPr>
        <w:t xml:space="preserve">: 714,29 млн руб. (снижение на 39,39%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EBITDA</w:t>
      </w:r>
      <w:r>
        <w:rPr>
          <w:rFonts w:ascii="Times New Roman" w:hAnsi="Times New Roman" w:cs="Times New Roman"/>
          <w:sz w:val="24"/>
        </w:rPr>
        <w:t xml:space="preserve">: 385,61 млн руб. (рост на 9,48%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Debt</w:t>
      </w:r>
      <w:r>
        <w:rPr>
          <w:rFonts w:ascii="Times New Roman" w:hAnsi="Times New Roman" w:cs="Times New Roman"/>
          <w:b/>
          <w:bCs/>
          <w:sz w:val="24"/>
        </w:rPr>
        <w:t xml:space="preserve">/EBITDA</w:t>
      </w:r>
      <w:r>
        <w:rPr>
          <w:rFonts w:ascii="Times New Roman" w:hAnsi="Times New Roman" w:cs="Times New Roman"/>
          <w:sz w:val="24"/>
        </w:rPr>
        <w:t xml:space="preserve">: 1,9 (снижение на 50,0% за год)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Показатели сотрудничества холдинга (2024 год):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Операционный доход (ЧОД)</w:t>
      </w:r>
      <w:r>
        <w:rPr>
          <w:rFonts w:ascii="Times New Roman" w:hAnsi="Times New Roman" w:cs="Times New Roman"/>
          <w:sz w:val="24"/>
        </w:rPr>
        <w:t xml:space="preserve">: 18,82 млн руб. (снижение на 163,84%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ФОТ (объём)</w:t>
      </w:r>
      <w:r>
        <w:rPr>
          <w:rFonts w:ascii="Times New Roman" w:hAnsi="Times New Roman" w:cs="Times New Roman"/>
          <w:sz w:val="24"/>
        </w:rPr>
        <w:t xml:space="preserve">: 200,5 млн руб. (снижение на 7,91%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Активы</w:t>
      </w:r>
      <w:r>
        <w:rPr>
          <w:rFonts w:ascii="Times New Roman" w:hAnsi="Times New Roman" w:cs="Times New Roman"/>
          <w:sz w:val="24"/>
        </w:rPr>
        <w:t xml:space="preserve">: 575,3 млн руб. (рост на 57,9% за год)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RORWA</w:t>
      </w:r>
      <w:r>
        <w:rPr>
          <w:rFonts w:ascii="Times New Roman" w:hAnsi="Times New Roman" w:cs="Times New Roman"/>
          <w:sz w:val="24"/>
        </w:rPr>
        <w:t xml:space="preserve">: 4,23 (снижение на 3,31% за год)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2. Информация о бизнесе клиента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Ключевые проекты и источники доходов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Основной вид деятельности</w:t>
      </w:r>
      <w:r>
        <w:rPr>
          <w:rFonts w:ascii="Times New Roman" w:hAnsi="Times New Roman" w:cs="Times New Roman"/>
          <w:sz w:val="24"/>
        </w:rPr>
        <w:t xml:space="preserve">: Производство красок и лаков на основе полимеров (код ОКВЭД: 20.30.1).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Дополнительные направления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Производство мыла и моющих средств, чистящих и полирующих средств, средств для ароматизации и </w:t>
      </w:r>
      <w:r>
        <w:rPr>
          <w:rFonts w:ascii="Times New Roman" w:hAnsi="Times New Roman" w:cs="Times New Roman"/>
          <w:sz w:val="24"/>
        </w:rPr>
        <w:t xml:space="preserve">дезодорирования</w:t>
      </w:r>
      <w:r>
        <w:rPr>
          <w:rFonts w:ascii="Times New Roman" w:hAnsi="Times New Roman" w:cs="Times New Roman"/>
          <w:sz w:val="24"/>
        </w:rPr>
        <w:t xml:space="preserve"> воздуха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Штукатурные, малярные и отделочные работы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Оптовая торговля лакокрасочными материалами и строительными изделиями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Транспортная обработка грузов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Аренда и управление недвижимым имуществом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Услуги в области бухгалтерского учёта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Концепция заработка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Сотрудничество с торговыми организациями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Разработка новых видов лакокрасочных материалов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Производство краски под заказ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Аутсорсинг и контрактное производство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Участники со стороны клиента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От их решений зависит р</w:t>
      </w:r>
      <w:r>
        <w:rPr>
          <w:rFonts w:ascii="Times New Roman" w:hAnsi="Times New Roman" w:cs="Times New Roman"/>
          <w:sz w:val="24"/>
        </w:rPr>
        <w:t xml:space="preserve">азвитие и бизнес-стратегия компании, поэтому важно провести индивидуальные встречи или обсуждения с каждым, чтобы выявить их личные бизнес-цели и ожидания, понять, как они видят развитие компании и убедиться, что предлагаемые решения учитывают их интересы.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Чумаков Игорь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Должность</w:t>
      </w:r>
      <w:r>
        <w:rPr>
          <w:rFonts w:ascii="Times New Roman" w:hAnsi="Times New Roman" w:cs="Times New Roman"/>
          <w:sz w:val="24"/>
        </w:rPr>
        <w:t xml:space="preserve">: Председатель правления компании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Психологический портрет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Социально ориентирован, нацелен на достижение результата и осознаёт важность своего статуса.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Легко адаптируется к новым условиям и людям, стремится получать финансовую выгоду и лёгкий доход через персональные предложения, </w:t>
      </w:r>
      <w:r>
        <w:rPr>
          <w:rFonts w:ascii="Times New Roman" w:hAnsi="Times New Roman" w:cs="Times New Roman"/>
          <w:sz w:val="24"/>
        </w:rPr>
        <w:t xml:space="preserve">кэшбэки</w:t>
      </w:r>
      <w:r>
        <w:rPr>
          <w:rFonts w:ascii="Times New Roman" w:hAnsi="Times New Roman" w:cs="Times New Roman"/>
          <w:sz w:val="24"/>
        </w:rPr>
        <w:t xml:space="preserve">, бонусы и акции.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Важны простота, быстрота и комфорт использования продуктов и услуг.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Увлекается путешествиями, чтением, спортом и общением с семьёй и друзьями.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Оптимистичен, открыт новому опыту и рискованным приключениям.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Темы для обсуждения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Путешествия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Спорт и фитнес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Общение с близкими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Котов</w:t>
      </w:r>
      <w:r>
        <w:rPr>
          <w:rFonts w:ascii="Times New Roman" w:hAnsi="Times New Roman" w:cs="Times New Roman"/>
          <w:b/>
          <w:bCs/>
          <w:sz w:val="24"/>
        </w:rPr>
        <w:t xml:space="preserve"> Тимур </w:t>
      </w:r>
      <w:r>
        <w:rPr>
          <w:rFonts w:ascii="Times New Roman" w:hAnsi="Times New Roman" w:cs="Times New Roman"/>
          <w:b/>
          <w:bCs/>
          <w:sz w:val="24"/>
        </w:rPr>
        <w:t xml:space="preserve">Радмырович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Должность</w:t>
      </w:r>
      <w:r>
        <w:rPr>
          <w:rFonts w:ascii="Times New Roman" w:hAnsi="Times New Roman" w:cs="Times New Roman"/>
          <w:sz w:val="24"/>
        </w:rPr>
        <w:t xml:space="preserve">: Генеральный директор ООО "ЭСКИМО КЕМИКАЛ АС"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Психологический портрет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Социально ориентирован, нацелен на достижение результата и осознаёт важность своего статуса.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Легко адаптируется к новым условиям и людям, стремится получать финансовую выгоду и лёгкий доход через персональные предложения, </w:t>
      </w:r>
      <w:r>
        <w:rPr>
          <w:rFonts w:ascii="Times New Roman" w:hAnsi="Times New Roman" w:cs="Times New Roman"/>
          <w:sz w:val="24"/>
        </w:rPr>
        <w:t xml:space="preserve">кэшбэки</w:t>
      </w:r>
      <w:r>
        <w:rPr>
          <w:rFonts w:ascii="Times New Roman" w:hAnsi="Times New Roman" w:cs="Times New Roman"/>
          <w:sz w:val="24"/>
        </w:rPr>
        <w:t xml:space="preserve">, бонусы и акции.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Важны простота, быстрота и комфорт использования продуктов и услуг.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Увлекается путешествиями, чтением, спортом и общением с семьёй и друзьями.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Оптимистичен, открыт новому опыту и рискованным приключениям.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Темы для обсуждения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Путешествия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Спорт и фитнес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Общение с близкими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Иванова</w:t>
      </w:r>
      <w:r>
        <w:rPr>
          <w:rFonts w:ascii="Times New Roman" w:hAnsi="Times New Roman" w:cs="Times New Roman"/>
          <w:b/>
          <w:bCs/>
          <w:sz w:val="24"/>
        </w:rPr>
        <w:t xml:space="preserve"> Мария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Должность</w:t>
      </w:r>
      <w:r>
        <w:rPr>
          <w:rFonts w:ascii="Times New Roman" w:hAnsi="Times New Roman" w:cs="Times New Roman"/>
          <w:sz w:val="24"/>
        </w:rPr>
        <w:t xml:space="preserve">: Финансовый директор компании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Психологический портрет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Опирается на логику и причинно-следственные связи, склонен анализировать и структурировать информацию.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Важно ясность, точность и последовательность изложения информации.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Предпочитает конкретные факты и детали, плохо воспринимает скрытые смыслы и намёки.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него значима практическая польза и выгода от использования продукта или услуги.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Несмотря на высокий уровень уверенности в себе, открыт новому опыту и легко адаптируется к изменениям.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Интересы разнообразны, включая благотворительность, путешествия, чтение и общение с близкими.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Темы для обсуждения</w:t>
      </w:r>
      <w:r>
        <w:rPr>
          <w:rFonts w:ascii="Times New Roman" w:hAnsi="Times New Roman" w:cs="Times New Roman"/>
          <w:sz w:val="24"/>
        </w:rPr>
        <w:t xml:space="preserve">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Путешествия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Общение с близкими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Образование и саморазвитие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Социальная активность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Финансовые показатели клиента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Выручка</w:t>
      </w:r>
      <w:r>
        <w:rPr>
          <w:rFonts w:ascii="Times New Roman" w:hAnsi="Times New Roman" w:cs="Times New Roman"/>
          <w:sz w:val="24"/>
        </w:rPr>
        <w:t xml:space="preserve">: 2,6 млрд руб.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Активы на 31 декабря 2024 года</w:t>
      </w:r>
      <w:r>
        <w:rPr>
          <w:rFonts w:ascii="Times New Roman" w:hAnsi="Times New Roman" w:cs="Times New Roman"/>
          <w:sz w:val="24"/>
        </w:rPr>
        <w:t xml:space="preserve">: 1,4 млрд руб.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Чистые активы на 31 декабря 2024 года</w:t>
      </w:r>
      <w:r>
        <w:rPr>
          <w:rFonts w:ascii="Times New Roman" w:hAnsi="Times New Roman" w:cs="Times New Roman"/>
          <w:sz w:val="24"/>
        </w:rPr>
        <w:t xml:space="preserve">: 416 млн руб.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Чистая прибыль за 2024 год</w:t>
      </w:r>
      <w:r>
        <w:rPr>
          <w:rFonts w:ascii="Times New Roman" w:hAnsi="Times New Roman" w:cs="Times New Roman"/>
          <w:sz w:val="24"/>
        </w:rPr>
        <w:t xml:space="preserve">: 106 млн руб.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Среднесписочная численность работников за 2024 год</w:t>
      </w:r>
      <w:r>
        <w:rPr>
          <w:rFonts w:ascii="Times New Roman" w:hAnsi="Times New Roman" w:cs="Times New Roman"/>
          <w:sz w:val="24"/>
        </w:rPr>
        <w:t xml:space="preserve">: 265 чел.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Уплаченные налоги за 2024 год</w:t>
      </w:r>
      <w:r>
        <w:rPr>
          <w:rFonts w:ascii="Times New Roman" w:hAnsi="Times New Roman" w:cs="Times New Roman"/>
          <w:sz w:val="24"/>
        </w:rPr>
        <w:t xml:space="preserve">: 278,8 млн руб.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Новости по клиенту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11-13 сентября 2024 года</w:t>
      </w:r>
      <w:r>
        <w:rPr>
          <w:rFonts w:ascii="Times New Roman" w:hAnsi="Times New Roman" w:cs="Times New Roman"/>
          <w:sz w:val="24"/>
        </w:rPr>
        <w:t xml:space="preserve">: Компания совместно с дистрибьютором участвовала во Всероссийском строительном форуме в Ростове-на-Дону.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19 июля 2024 года</w:t>
      </w:r>
      <w:r>
        <w:rPr>
          <w:rFonts w:ascii="Times New Roman" w:hAnsi="Times New Roman" w:cs="Times New Roman"/>
          <w:sz w:val="24"/>
        </w:rPr>
        <w:t xml:space="preserve">: Компания в России отметила 25-летие, её поздравили с юбилеем.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28 июля 2025 года</w:t>
      </w:r>
      <w:r>
        <w:rPr>
          <w:rFonts w:ascii="Times New Roman" w:hAnsi="Times New Roman" w:cs="Times New Roman"/>
          <w:sz w:val="24"/>
        </w:rPr>
        <w:t xml:space="preserve">: Компания является действующей, применяет общий режим налогообложения, имеет средний индекс благонадёжности и высокий индекс кредитоспособности.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2024 год</w:t>
      </w:r>
      <w:r>
        <w:rPr>
          <w:rFonts w:ascii="Times New Roman" w:hAnsi="Times New Roman" w:cs="Times New Roman"/>
          <w:sz w:val="24"/>
        </w:rPr>
        <w:t xml:space="preserve">: По данным бухгалтерской отчётности, прибыль компании составила 116 209 000 рублей.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Стратегические цели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Миссия</w:t>
      </w:r>
      <w:r>
        <w:rPr>
          <w:rFonts w:ascii="Times New Roman" w:hAnsi="Times New Roman" w:cs="Times New Roman"/>
          <w:sz w:val="24"/>
        </w:rPr>
        <w:t xml:space="preserve">: "Наполнить вашу жизнь цветами, заимствованными у живой природы".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Цель миссии</w:t>
      </w:r>
      <w:r>
        <w:rPr>
          <w:rFonts w:ascii="Times New Roman" w:hAnsi="Times New Roman" w:cs="Times New Roman"/>
          <w:sz w:val="24"/>
        </w:rPr>
        <w:t xml:space="preserve">: эстетическое и моральное удовлетворение потребителей.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Цель миссии</w:t>
      </w:r>
      <w:r>
        <w:rPr>
          <w:rFonts w:ascii="Times New Roman" w:hAnsi="Times New Roman" w:cs="Times New Roman"/>
          <w:sz w:val="24"/>
        </w:rPr>
        <w:t xml:space="preserve">: помощь в создании комфортных условий жизни и работы.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Примеры вопросов, которые помогут больше узнать о клиенте: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Какие сегменты или клиенты дают основной вклад?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Где вы видите текущие «точки боли»?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Какие ключевые ограничения мешают реализации амбиций?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Какие управленческие проблемы чаще всего «оттягивают» внимание?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3. Информация об отрасли клиента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Тренды </w:t>
      </w:r>
      <w:r>
        <w:rPr>
          <w:rFonts w:ascii="Times New Roman" w:hAnsi="Times New Roman" w:cs="Times New Roman"/>
          <w:b/>
          <w:bCs/>
          <w:sz w:val="24"/>
        </w:rPr>
        <w:t xml:space="preserve">подотрасли</w:t>
      </w:r>
      <w:r>
        <w:rPr>
          <w:rFonts w:ascii="Times New Roman" w:hAnsi="Times New Roman" w:cs="Times New Roman"/>
          <w:b/>
          <w:bCs/>
          <w:sz w:val="24"/>
        </w:rPr>
        <w:t xml:space="preserve">: Производство лаков и красок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Использование порошковых красок нового поколения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Использование </w:t>
      </w:r>
      <w:r>
        <w:rPr>
          <w:rFonts w:ascii="Times New Roman" w:hAnsi="Times New Roman" w:cs="Times New Roman"/>
          <w:b/>
          <w:bCs/>
          <w:sz w:val="24"/>
        </w:rPr>
        <w:t xml:space="preserve">нанотехнологий</w:t>
      </w:r>
      <w:r>
        <w:rPr>
          <w:rFonts w:ascii="Times New Roman" w:hAnsi="Times New Roman" w:cs="Times New Roman"/>
          <w:b/>
          <w:bCs/>
          <w:sz w:val="24"/>
        </w:rPr>
        <w:t xml:space="preserve"> при нанесении покрытий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Автоматизация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Внедрение новых систем управления производственным процессом (MES)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Внедрение принципов циклической экономики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Аналитика больших данных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Интернет вещей (</w:t>
      </w:r>
      <w:r>
        <w:rPr>
          <w:rFonts w:ascii="Times New Roman" w:hAnsi="Times New Roman" w:cs="Times New Roman"/>
          <w:b/>
          <w:bCs/>
          <w:sz w:val="24"/>
        </w:rPr>
        <w:t xml:space="preserve">IoT</w:t>
      </w:r>
      <w:r>
        <w:rPr>
          <w:rFonts w:ascii="Times New Roman" w:hAnsi="Times New Roman" w:cs="Times New Roman"/>
          <w:b/>
          <w:bCs/>
          <w:sz w:val="24"/>
        </w:rPr>
        <w:t xml:space="preserve">)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Искусственный интеллект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Тренды отрасли: Химическая промышленность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Устойчивость и экологические инновации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Цифровизация</w:t>
      </w:r>
      <w:r>
        <w:rPr>
          <w:rFonts w:ascii="Times New Roman" w:hAnsi="Times New Roman" w:cs="Times New Roman"/>
          <w:b/>
          <w:bCs/>
          <w:sz w:val="24"/>
        </w:rPr>
        <w:t xml:space="preserve"> и интеллектуальные технологии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Глобальная цепочка поставок и ресурсная эффективность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Биотехнологии и новые материалы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Переход к круговой экономике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Энергоэффективность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Проблемы отрасли: Химическая промышленность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Износ производственных мощностей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Экологические риски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Дефицит квалифицированных кадров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Зависимость от импорта оборудования и технологий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Логистические и инфраструктурные ограничения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Неэффективность государственного регулирования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Недостаточная ёмкость внутреннего рынка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Дефицит конкурентоспособного химического оборудования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1D2532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1D2532" stroked="f"/>
            </w:pict>
          </mc:Fallback>
        </mc:AlternateConten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4. Формирование внутренней команды</w:t>
      </w:r>
      <w:r>
        <w:rPr>
          <w:rFonts w:ascii="Times New Roman" w:hAnsi="Times New Roman" w:cs="Times New Roman"/>
          <w:b/>
          <w:bCs/>
          <w:sz w:val="24"/>
        </w:rPr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Перед проведением встречи важно составить список участников: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Обязательно пригласите Спонсора</w:t>
      </w:r>
      <w:r>
        <w:rPr>
          <w:rFonts w:ascii="Times New Roman" w:hAnsi="Times New Roman" w:cs="Times New Roman"/>
          <w:sz w:val="24"/>
        </w:rPr>
        <w:t xml:space="preserve">: Управляющего / Заместителя управляющего и др., поскольку именно этот участник несёт ответственность за результат встречи и выполнение договорённостей.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Рекомендуется привлечь CSM</w:t>
      </w:r>
      <w:r>
        <w:rPr>
          <w:rFonts w:ascii="Times New Roman" w:hAnsi="Times New Roman" w:cs="Times New Roman"/>
          <w:sz w:val="24"/>
        </w:rPr>
        <w:t xml:space="preserve">: Калинина Татьяна Юрьевна или продуктового специалиста.</w:t>
      </w:r>
      <w:r>
        <w:rPr>
          <w:rFonts w:ascii="Times New Roman" w:hAnsi="Times New Roman" w:cs="Times New Roman"/>
          <w:sz w:val="24"/>
        </w:rPr>
      </w:r>
    </w:p>
    <w:p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При необходимости для проведения диалога вы можете подключить партнёров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 xml:space="preserve">Strategy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partners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Sbergile</w:t>
      </w:r>
      <w:r>
        <w:rPr>
          <w:rFonts w:ascii="Times New Roman" w:hAnsi="Times New Roman" w:cs="Times New Roman"/>
          <w:sz w:val="24"/>
        </w:rPr>
        <w:t xml:space="preserve">.</w:t>
      </w:r>
      <w:r>
        <w:rPr>
          <w:rFonts w:ascii="Times New Roman" w:hAnsi="Times New Roman" w:cs="Times New Roman"/>
          <w:sz w:val="24"/>
        </w:rPr>
      </w:r>
    </w:p>
    <w:p>
      <w:pPr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</w:rPr>
        <w:t xml:space="preserve">Не забудьте записать встречу, просмотрите автоматически сформированный протокол и направьте его клиенту. Если на встрече не осуществлялась аудиозапись, сформируйте протокол в ЕФС Наш бизнес.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highlight w:val="none"/>
        </w:rPr>
        <w:t xml:space="preserve">ФИНАНСОВАЯ АНАЛИТИКА</w:t>
      </w:r>
      <w:r>
        <w:rPr>
          <w:rFonts w:ascii="Times New Roman" w:hAnsi="Times New Roman" w:cs="Times New Roman"/>
          <w:sz w:val="24"/>
          <w:highlight w:val="none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Результаты деятельности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Результативность (операционные результаты)\n- Увеличение выручки LTM по сравнению с АППГ 6.8%.\n- Выручка за квартал снижается в течение 2х кварталов подряд: относительно прошлого периода ((3.5)% и (36.6)%) </w:t>
      </w:r>
      <w:r>
        <w:rPr>
          <w:rFonts w:ascii="Calibri" w:hAnsi="Calibri" w:eastAsia="Calibri" w:cs="Calibri"/>
          <w:color w:val="000000"/>
          <w:sz w:val="22"/>
        </w:rPr>
        <w:t xml:space="preserve">и АППГ ((5.1)% и (0.3)%).\n- Рентабельность EBITDA LTM составила 15.5%.\n- Чистая прибыль 131 761 тыс. руб.\n\nВозможность исполнения обязательств\n- Чистый долг(за искл. субор. займов)/EBITDA LTM 1.76, ниже нормативного значения для данной отрасли.\n- ICR</w:t>
      </w:r>
      <w:r>
        <w:rPr>
          <w:rFonts w:ascii="Calibri" w:hAnsi="Calibri" w:eastAsia="Calibri" w:cs="Calibri"/>
          <w:color w:val="000000"/>
          <w:sz w:val="22"/>
        </w:rPr>
        <w:t xml:space="preserve"> LTM 3.12 - выше нормативного значения.\n- Доля ЧА в структуре баланса 33.7%.\n\nПоследний период фактической отчётности финансового анализа — 2025 Q1.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Качество активов и управление ими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Качество активов и управление ими\n- КТЛ 1.2, выше нормативного значения\n- Оборачиваемость ДЗ LTM 70 дней - соответствует оборачиваемости большинства компаний данной отрасли \n- Оборачиваемость КЗ LTM 72 дн</w:t>
      </w:r>
      <w:r>
        <w:rPr>
          <w:rFonts w:ascii="Calibri" w:hAnsi="Calibri" w:eastAsia="Calibri" w:cs="Calibri"/>
          <w:color w:val="000000"/>
          <w:sz w:val="22"/>
        </w:rPr>
        <w:t xml:space="preserve">я - соответствует оборачиваемости большинства компаний данной отрасли \n- Оборачиваемость запасов LTM 157 дней - выше оборачиваемости большинства компаний данной отрасли \n\nПоследний период фактической отчётности финансового анализа — 2025 Q1.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Риск невозможности исполнения обязательств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Риск невозможности исполнения обязательств\nРиск Средний, что свидетельствует о возможности клиента выполнять свои обязательства. Прогнозное финансовое состояние, которое сильно зависит от прочих операционны</w:t>
      </w:r>
      <w:r>
        <w:rPr>
          <w:rFonts w:ascii="Calibri" w:hAnsi="Calibri" w:eastAsia="Calibri" w:cs="Calibri"/>
          <w:color w:val="000000"/>
          <w:sz w:val="22"/>
        </w:rPr>
        <w:t xml:space="preserve">х доходов и расходов, является устойчивым и прибыльным.\n\nДата последней фактической отчетности — 2025 Q1.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Влияющие макропараметры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Влияющие макропараметры включают следующие факторы:\n- Ключевая ставка на конец года (eop)\n- Ставка налога на прибыль организаций\n- Курс рубля к юаню, руб. (средний за период)\n- Средний за период курс руб</w:t>
      </w:r>
      <w:r>
        <w:rPr>
          <w:rFonts w:ascii="Calibri" w:hAnsi="Calibri" w:eastAsia="Calibri" w:cs="Calibri"/>
          <w:color w:val="000000"/>
          <w:sz w:val="22"/>
        </w:rPr>
        <w:t xml:space="preserve">ля к доллару США (av USD/RUB)\n- Коэффициент постоянных расходов\n- Курс рубля к EUR в конце года (eop EUR/RUB)\n- Коэффициент цены\n- Нефть марки Urals\n- Метанол\n- Коэффициент капитальных вложений\n- Курс рубля к рупии, руб. (средний за период)\n- Инфля</w:t>
      </w:r>
      <w:r>
        <w:rPr>
          <w:rFonts w:ascii="Calibri" w:hAnsi="Calibri" w:eastAsia="Calibri" w:cs="Calibri"/>
          <w:color w:val="000000"/>
          <w:sz w:val="22"/>
        </w:rPr>
        <w:t xml:space="preserve">ция - Рост индекса потребительских цен (RUB, eop CPI)\n- Курс рубля к доллару США в конце года (eop USD/RUB)\n- Коэффициент удельных расходов\n- Коэффициент объема\n- Курс рубля к юаню, руб. (на конец периода)\n- Курс рубля к рупии, руб. (на конец периода)</w:t>
      </w:r>
      <w:r>
        <w:rPr>
          <w:rFonts w:ascii="Calibri" w:hAnsi="Calibri" w:eastAsia="Calibri" w:cs="Calibri"/>
          <w:color w:val="000000"/>
          <w:sz w:val="22"/>
        </w:rPr>
        <w:t xml:space="preserve">\n- Средний за период курс рубля к EUR (av EUR/RUB)"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Сравнение с бенчмарками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2"/>
        </w:rPr>
        <w:t xml:space="preserve">Позиция компании в отрасли:\nВыше медианы по показателям (лучше чем у 50% компаний):\n- Рентабельность EBITDA (LTM)\n- Темп роста EBITDA (LTM)\n- Темп роста рентабельности EBITDA (LTM)\nНиже медианы по показ</w:t>
      </w:r>
      <w:r>
        <w:rPr>
          <w:rFonts w:ascii="Calibri" w:hAnsi="Calibri" w:eastAsia="Calibri" w:cs="Calibri"/>
          <w:color w:val="000000"/>
          <w:sz w:val="22"/>
        </w:rPr>
        <w:t xml:space="preserve">ателям (лучше чем у 25% компаний):\n- Net Debt/EBITDA (LTM)"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highlight w:val="none"/>
        </w:rPr>
      </w:r>
      <w:r>
        <w:rPr>
          <w:rFonts w:ascii="Times New Roman" w:hAnsi="Times New Roman" w:cs="Times New Roman"/>
          <w:sz w:val="24"/>
          <w:highlight w:val="none"/>
        </w:rPr>
      </w:r>
    </w:p>
    <w:p>
      <w:pPr>
        <w:rPr>
          <w:rFonts w:ascii="Times New Roman" w:hAnsi="Times New Roman" w:cs="Times New Roman"/>
          <w:sz w:val="24"/>
        </w:rPr>
      </w:pPr>
      <w:r/>
      <w:bookmarkStart w:id="0" w:name="_GoBack"/>
      <w:r/>
      <w:bookmarkEnd w:id="0"/>
      <w:r/>
      <w:r>
        <w:rPr>
          <w:rFonts w:ascii="Times New Roman" w:hAnsi="Times New Roman" w:cs="Times New Roman"/>
          <w:sz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17"/>
  </w:num>
  <w:num w:numId="3">
    <w:abstractNumId w:val="5"/>
  </w:num>
  <w:num w:numId="4">
    <w:abstractNumId w:val="9"/>
  </w:num>
  <w:num w:numId="5">
    <w:abstractNumId w:val="7"/>
  </w:num>
  <w:num w:numId="6">
    <w:abstractNumId w:val="15"/>
  </w:num>
  <w:num w:numId="7">
    <w:abstractNumId w:val="3"/>
  </w:num>
  <w:num w:numId="8">
    <w:abstractNumId w:val="14"/>
  </w:num>
  <w:num w:numId="9">
    <w:abstractNumId w:val="8"/>
  </w:num>
  <w:num w:numId="10">
    <w:abstractNumId w:val="0"/>
  </w:num>
  <w:num w:numId="11">
    <w:abstractNumId w:val="16"/>
  </w:num>
  <w:num w:numId="12">
    <w:abstractNumId w:val="10"/>
  </w:num>
  <w:num w:numId="13">
    <w:abstractNumId w:val="1"/>
  </w:num>
  <w:num w:numId="14">
    <w:abstractNumId w:val="18"/>
  </w:num>
  <w:num w:numId="15">
    <w:abstractNumId w:val="2"/>
  </w:num>
  <w:num w:numId="16">
    <w:abstractNumId w:val="4"/>
  </w:num>
  <w:num w:numId="17">
    <w:abstractNumId w:val="6"/>
  </w:num>
  <w:num w:numId="18">
    <w:abstractNumId w:val="19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58"/>
    <w:next w:val="65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59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58"/>
    <w:next w:val="65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59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58"/>
    <w:next w:val="65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59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58"/>
    <w:next w:val="65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59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58"/>
    <w:next w:val="65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59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58"/>
    <w:next w:val="65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59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58"/>
    <w:next w:val="65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59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58"/>
    <w:next w:val="65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59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58"/>
    <w:next w:val="65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59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58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58"/>
    <w:next w:val="65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59"/>
    <w:link w:val="35"/>
    <w:uiPriority w:val="10"/>
    <w:rPr>
      <w:sz w:val="48"/>
      <w:szCs w:val="48"/>
    </w:rPr>
  </w:style>
  <w:style w:type="paragraph" w:styleId="37">
    <w:name w:val="Subtitle"/>
    <w:basedOn w:val="658"/>
    <w:next w:val="65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59"/>
    <w:link w:val="37"/>
    <w:uiPriority w:val="11"/>
    <w:rPr>
      <w:sz w:val="24"/>
      <w:szCs w:val="24"/>
    </w:rPr>
  </w:style>
  <w:style w:type="paragraph" w:styleId="39">
    <w:name w:val="Quote"/>
    <w:basedOn w:val="658"/>
    <w:next w:val="65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58"/>
    <w:next w:val="65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5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59"/>
    <w:link w:val="43"/>
    <w:uiPriority w:val="99"/>
  </w:style>
  <w:style w:type="paragraph" w:styleId="45">
    <w:name w:val="Footer"/>
    <w:basedOn w:val="65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59"/>
    <w:link w:val="45"/>
    <w:uiPriority w:val="99"/>
  </w:style>
  <w:style w:type="paragraph" w:styleId="47">
    <w:name w:val="Caption"/>
    <w:basedOn w:val="658"/>
    <w:next w:val="65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59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6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6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5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59"/>
    <w:uiPriority w:val="99"/>
    <w:unhideWhenUsed/>
    <w:rPr>
      <w:vertAlign w:val="superscript"/>
    </w:rPr>
  </w:style>
  <w:style w:type="paragraph" w:styleId="179">
    <w:name w:val="endnote text"/>
    <w:basedOn w:val="65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59"/>
    <w:uiPriority w:val="99"/>
    <w:semiHidden/>
    <w:unhideWhenUsed/>
    <w:rPr>
      <w:vertAlign w:val="superscript"/>
    </w:rPr>
  </w:style>
  <w:style w:type="paragraph" w:styleId="182">
    <w:name w:val="toc 1"/>
    <w:basedOn w:val="658"/>
    <w:next w:val="65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58"/>
    <w:next w:val="65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58"/>
    <w:next w:val="65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58"/>
    <w:next w:val="65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58"/>
    <w:next w:val="65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58"/>
    <w:next w:val="65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58"/>
    <w:next w:val="65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58"/>
    <w:next w:val="65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58"/>
    <w:next w:val="65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58"/>
    <w:next w:val="658"/>
    <w:uiPriority w:val="99"/>
    <w:unhideWhenUsed/>
    <w:pPr>
      <w:spacing w:after="0" w:afterAutospacing="0"/>
    </w:pPr>
  </w:style>
  <w:style w:type="paragraph" w:styleId="658" w:default="1">
    <w:name w:val="Normal"/>
    <w:qFormat/>
  </w:style>
  <w:style w:type="character" w:styleId="659" w:default="1">
    <w:name w:val="Default Paragraph Font"/>
    <w:uiPriority w:val="1"/>
    <w:unhideWhenUsed/>
  </w:style>
  <w:style w:type="table" w:styleId="66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Р7-Офис/2025.3.2.1007</Application>
  <Company>ПАО Сбербанк России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Хмельницкая Надежда Александровна</dc:creator>
  <cp:keywords/>
  <dc:description/>
  <cp:lastModifiedBy>22643627@sigma.sbrf.ru</cp:lastModifiedBy>
  <cp:revision>3</cp:revision>
  <dcterms:created xsi:type="dcterms:W3CDTF">2025-10-13T14:18:00Z</dcterms:created>
  <dcterms:modified xsi:type="dcterms:W3CDTF">2025-10-21T14:26:40Z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