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4"/>
        </w:rPr>
        <w:t>Таблица 1 — Основные тестовые кейсы автоматизированной информационной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fill="D9E2F3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type="dxa" w:w="2835"/>
            <w:shd w:val="clear" w:fill="D9E2F3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Производимые действия</w:t>
            </w:r>
          </w:p>
        </w:tc>
        <w:tc>
          <w:tcPr>
            <w:tcW w:type="dxa" w:w="3969"/>
            <w:shd w:val="clear" w:fill="D9E2F3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type="dxa" w:w="794"/>
            <w:shd w:val="clear" w:fill="D9E2F3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4"/>
              </w:rPr>
              <w:t>Авторизация с корректными данными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24"/>
              </w:rPr>
              <w:t>Ввод email и пароля менеджера, нажатие кнопки «Войти»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24"/>
              </w:rPr>
              <w:t>Переадресация на главную страницу, отображение имени и роли пользователя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>
              <w:rPr>
                <w:sz w:val="24"/>
              </w:rPr>
              <w:t>+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4"/>
              </w:rPr>
              <w:t>Создание заявки на возврат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24"/>
              </w:rPr>
              <w:t>Заполнение формы создания (клиент, товар, причина, тип), нажатие «Создать»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24"/>
              </w:rPr>
              <w:t>Заявка сохранена, присвоен уникальный номер, статус «создана»; руководителю сформировано внутреннее уведомление о новой заявке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>
              <w:rPr>
                <w:sz w:val="24"/>
              </w:rPr>
              <w:t>+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4"/>
              </w:rPr>
              <w:t>Итоговое решение и обмен с 1С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24"/>
              </w:rPr>
              <w:t>Менеджер принимает решение «списание» по принятой заявке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24"/>
              </w:rPr>
              <w:t>Статус изменён на «завершена»; задание на обмен поставлено в очередь, обработчик отправил запросы к API 1С (списание и акт сверки); результат зафиксирован в истории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>
              <w:rPr>
                <w:sz w:val="24"/>
              </w:rPr>
              <w:t>+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4"/>
              </w:rPr>
              <w:t>Разграничение доступа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24"/>
              </w:rPr>
              <w:t>Попытка сотрудника отдела логистики принять итоговое решение по заявке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24"/>
              </w:rPr>
              <w:t>Отображение сообщения «Недостаточно прав для выполнения действия»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>
              <w:rPr>
                <w:sz w:val="24"/>
              </w:rPr>
              <w:t>+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