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BC3" w:rsidRPr="008D7BC3" w:rsidRDefault="008D7BC3" w:rsidP="008D7BC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Артефакты</w:t>
      </w:r>
    </w:p>
    <w:p w:rsidR="004C66E2" w:rsidRPr="00886F21" w:rsidRDefault="00886F21" w:rsidP="00886F2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86F21">
        <w:rPr>
          <w:rFonts w:ascii="Times New Roman" w:hAnsi="Times New Roman" w:cs="Times New Roman"/>
          <w:b/>
          <w:sz w:val="28"/>
        </w:rPr>
        <w:t>Модуль: начало подготовки.</w:t>
      </w:r>
    </w:p>
    <w:p w:rsidR="00886F21" w:rsidRPr="00886F21" w:rsidRDefault="00886F21" w:rsidP="00886F2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6F21">
        <w:rPr>
          <w:rFonts w:ascii="Times New Roman" w:hAnsi="Times New Roman" w:cs="Times New Roman"/>
          <w:sz w:val="28"/>
        </w:rPr>
        <w:t xml:space="preserve">Артефакты: </w:t>
      </w:r>
      <w:r w:rsidR="0001261F">
        <w:rPr>
          <w:rFonts w:ascii="Times New Roman" w:hAnsi="Times New Roman" w:cs="Times New Roman"/>
          <w:sz w:val="28"/>
        </w:rPr>
        <w:t>документ о заявке на поставку, место отправки</w:t>
      </w:r>
      <w:r w:rsidRPr="00886F21">
        <w:rPr>
          <w:rFonts w:ascii="Times New Roman" w:hAnsi="Times New Roman" w:cs="Times New Roman"/>
          <w:sz w:val="28"/>
        </w:rPr>
        <w:t xml:space="preserve">, сырье, </w:t>
      </w:r>
      <w:r w:rsidR="0001261F">
        <w:rPr>
          <w:rFonts w:ascii="Times New Roman" w:hAnsi="Times New Roman" w:cs="Times New Roman"/>
          <w:sz w:val="28"/>
        </w:rPr>
        <w:t>место приема</w:t>
      </w:r>
      <w:r w:rsidRPr="00886F21">
        <w:rPr>
          <w:rFonts w:ascii="Times New Roman" w:hAnsi="Times New Roman" w:cs="Times New Roman"/>
          <w:sz w:val="28"/>
        </w:rPr>
        <w:t>, оборудования для приема сырья</w:t>
      </w:r>
      <w:r w:rsidR="0001261F">
        <w:rPr>
          <w:rFonts w:ascii="Times New Roman" w:hAnsi="Times New Roman" w:cs="Times New Roman"/>
          <w:sz w:val="28"/>
        </w:rPr>
        <w:t>, документация по сырью, отчет о доставке</w:t>
      </w:r>
      <w:r w:rsidRPr="00886F21">
        <w:rPr>
          <w:rFonts w:ascii="Times New Roman" w:hAnsi="Times New Roman" w:cs="Times New Roman"/>
          <w:sz w:val="28"/>
        </w:rPr>
        <w:t>.</w:t>
      </w:r>
    </w:p>
    <w:p w:rsidR="00886F21" w:rsidRPr="00886F21" w:rsidRDefault="00886F21" w:rsidP="00886F2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86F21">
        <w:rPr>
          <w:rFonts w:ascii="Times New Roman" w:hAnsi="Times New Roman" w:cs="Times New Roman"/>
          <w:b/>
          <w:sz w:val="28"/>
        </w:rPr>
        <w:t>Модуль: подготовка к производству.</w:t>
      </w:r>
    </w:p>
    <w:p w:rsidR="00886F21" w:rsidRPr="00886F21" w:rsidRDefault="00886F21" w:rsidP="00886F2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6F21">
        <w:rPr>
          <w:rFonts w:ascii="Times New Roman" w:hAnsi="Times New Roman" w:cs="Times New Roman"/>
          <w:sz w:val="28"/>
        </w:rPr>
        <w:t>Артефакты:</w:t>
      </w:r>
      <w:r w:rsidR="0001261F">
        <w:rPr>
          <w:rFonts w:ascii="Times New Roman" w:hAnsi="Times New Roman" w:cs="Times New Roman"/>
          <w:sz w:val="28"/>
        </w:rPr>
        <w:t xml:space="preserve"> документ о заявке на проектировку кузова, место для проектировки</w:t>
      </w:r>
      <w:r w:rsidRPr="00886F21">
        <w:rPr>
          <w:rFonts w:ascii="Times New Roman" w:hAnsi="Times New Roman" w:cs="Times New Roman"/>
          <w:sz w:val="28"/>
        </w:rPr>
        <w:t>,</w:t>
      </w:r>
      <w:r w:rsidR="0001261F">
        <w:rPr>
          <w:rFonts w:ascii="Times New Roman" w:hAnsi="Times New Roman" w:cs="Times New Roman"/>
          <w:sz w:val="28"/>
        </w:rPr>
        <w:t xml:space="preserve"> оборудование для проектировки, отчет об спроектированном объекте.</w:t>
      </w:r>
    </w:p>
    <w:p w:rsidR="00886F21" w:rsidRPr="00886F21" w:rsidRDefault="00886F21" w:rsidP="00886F2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86F21">
        <w:rPr>
          <w:rFonts w:ascii="Times New Roman" w:hAnsi="Times New Roman" w:cs="Times New Roman"/>
          <w:b/>
          <w:sz w:val="28"/>
        </w:rPr>
        <w:t>Модуль: производство кузова.</w:t>
      </w:r>
    </w:p>
    <w:p w:rsidR="00886F21" w:rsidRDefault="00886F21" w:rsidP="00886F2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6F21">
        <w:rPr>
          <w:rFonts w:ascii="Times New Roman" w:hAnsi="Times New Roman" w:cs="Times New Roman"/>
          <w:sz w:val="28"/>
        </w:rPr>
        <w:t>Артефакты:</w:t>
      </w:r>
      <w:r w:rsidR="0001261F">
        <w:rPr>
          <w:rFonts w:ascii="Times New Roman" w:hAnsi="Times New Roman" w:cs="Times New Roman"/>
          <w:sz w:val="28"/>
        </w:rPr>
        <w:t xml:space="preserve"> документ с проектом, место для производства продукции</w:t>
      </w:r>
      <w:r w:rsidRPr="00886F21">
        <w:rPr>
          <w:rFonts w:ascii="Times New Roman" w:hAnsi="Times New Roman" w:cs="Times New Roman"/>
          <w:sz w:val="28"/>
        </w:rPr>
        <w:t>, оборудование для производства,</w:t>
      </w:r>
      <w:r w:rsidR="0001261F">
        <w:rPr>
          <w:rFonts w:ascii="Times New Roman" w:hAnsi="Times New Roman" w:cs="Times New Roman"/>
          <w:sz w:val="28"/>
        </w:rPr>
        <w:t xml:space="preserve"> отчет о выполненной задаче,</w:t>
      </w:r>
      <w:r w:rsidRPr="00886F21">
        <w:rPr>
          <w:rFonts w:ascii="Times New Roman" w:hAnsi="Times New Roman" w:cs="Times New Roman"/>
          <w:sz w:val="28"/>
        </w:rPr>
        <w:t xml:space="preserve"> </w:t>
      </w:r>
      <w:r w:rsidR="0001261F">
        <w:rPr>
          <w:rFonts w:ascii="Times New Roman" w:hAnsi="Times New Roman" w:cs="Times New Roman"/>
          <w:sz w:val="28"/>
        </w:rPr>
        <w:t>место проверки</w:t>
      </w:r>
      <w:r w:rsidRPr="00886F21">
        <w:rPr>
          <w:rFonts w:ascii="Times New Roman" w:hAnsi="Times New Roman" w:cs="Times New Roman"/>
          <w:sz w:val="28"/>
        </w:rPr>
        <w:t>, готовый кузов, оборудование для проверки кузова, складское помещение,</w:t>
      </w:r>
      <w:r w:rsidR="0001261F">
        <w:rPr>
          <w:rFonts w:ascii="Times New Roman" w:hAnsi="Times New Roman" w:cs="Times New Roman"/>
          <w:sz w:val="28"/>
        </w:rPr>
        <w:t xml:space="preserve"> оборудование для складирования, документация для продажи кузовов.</w:t>
      </w:r>
      <w:bookmarkStart w:id="0" w:name="_GoBack"/>
      <w:bookmarkEnd w:id="0"/>
    </w:p>
    <w:p w:rsidR="008D7BC3" w:rsidRDefault="008D7BC3" w:rsidP="008D7BC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Интерфейсы передачи данных</w:t>
      </w:r>
    </w:p>
    <w:p w:rsidR="008D7BC3" w:rsidRPr="008D7BC3" w:rsidRDefault="008D7BC3" w:rsidP="008D7BC3">
      <w:pPr>
        <w:spacing w:line="360" w:lineRule="auto"/>
        <w:jc w:val="both"/>
        <w:rPr>
          <w:rStyle w:val="a3"/>
          <w:rFonts w:ascii="Times New Roman" w:hAnsi="Times New Roman" w:cs="Times New Roman"/>
          <w:i w:val="0"/>
          <w:color w:val="111111"/>
          <w:sz w:val="28"/>
          <w:szCs w:val="23"/>
          <w:shd w:val="clear" w:color="auto" w:fill="FFFFFF"/>
        </w:rPr>
      </w:pPr>
      <w:r w:rsidRPr="008D7BC3">
        <w:rPr>
          <w:rStyle w:val="a3"/>
          <w:rFonts w:ascii="Times New Roman" w:hAnsi="Times New Roman" w:cs="Times New Roman"/>
          <w:i w:val="0"/>
          <w:color w:val="111111"/>
          <w:sz w:val="28"/>
          <w:szCs w:val="23"/>
          <w:shd w:val="clear" w:color="auto" w:fill="FFFFFF"/>
        </w:rPr>
        <w:t xml:space="preserve">В условиях промышленного применения беспроводные </w:t>
      </w:r>
      <w:r w:rsidRPr="008D7BC3">
        <w:rPr>
          <w:rStyle w:val="a4"/>
          <w:rFonts w:ascii="Times New Roman" w:hAnsi="Times New Roman" w:cs="Times New Roman"/>
          <w:i/>
          <w:iCs/>
          <w:color w:val="111111"/>
          <w:sz w:val="28"/>
          <w:szCs w:val="23"/>
          <w:shd w:val="clear" w:color="auto" w:fill="FFFFFF"/>
        </w:rPr>
        <w:t>линии передачи данных</w:t>
      </w:r>
      <w:r w:rsidRPr="008D7BC3">
        <w:rPr>
          <w:rStyle w:val="a3"/>
          <w:rFonts w:ascii="Times New Roman" w:hAnsi="Times New Roman" w:cs="Times New Roman"/>
          <w:i w:val="0"/>
          <w:color w:val="111111"/>
          <w:sz w:val="28"/>
          <w:szCs w:val="23"/>
          <w:shd w:val="clear" w:color="auto" w:fill="FFFFFF"/>
        </w:rPr>
        <w:t xml:space="preserve"> никог</w:t>
      </w:r>
      <w:r>
        <w:rPr>
          <w:rStyle w:val="a3"/>
          <w:rFonts w:ascii="Times New Roman" w:hAnsi="Times New Roman" w:cs="Times New Roman"/>
          <w:i w:val="0"/>
          <w:color w:val="111111"/>
          <w:sz w:val="28"/>
          <w:szCs w:val="23"/>
          <w:shd w:val="clear" w:color="auto" w:fill="FFFFFF"/>
        </w:rPr>
        <w:t xml:space="preserve">да не смогут полностью заменить </w:t>
      </w:r>
      <w:r w:rsidRPr="008D7BC3">
        <w:rPr>
          <w:rStyle w:val="a4"/>
          <w:rFonts w:ascii="Times New Roman" w:hAnsi="Times New Roman" w:cs="Times New Roman"/>
          <w:i/>
          <w:iCs/>
          <w:color w:val="111111"/>
          <w:sz w:val="28"/>
          <w:szCs w:val="23"/>
          <w:shd w:val="clear" w:color="auto" w:fill="FFFFFF"/>
        </w:rPr>
        <w:t>проводные</w:t>
      </w:r>
      <w:r w:rsidRPr="008D7BC3">
        <w:rPr>
          <w:rStyle w:val="a3"/>
          <w:rFonts w:ascii="Times New Roman" w:hAnsi="Times New Roman" w:cs="Times New Roman"/>
          <w:i w:val="0"/>
          <w:color w:val="111111"/>
          <w:sz w:val="28"/>
          <w:szCs w:val="23"/>
          <w:shd w:val="clear" w:color="auto" w:fill="FFFFFF"/>
        </w:rPr>
        <w:t>. Среди последних самым распространенным</w:t>
      </w:r>
      <w:r>
        <w:rPr>
          <w:rStyle w:val="a3"/>
          <w:rFonts w:ascii="Times New Roman" w:hAnsi="Times New Roman" w:cs="Times New Roman"/>
          <w:i w:val="0"/>
          <w:color w:val="111111"/>
          <w:sz w:val="28"/>
          <w:szCs w:val="23"/>
          <w:shd w:val="clear" w:color="auto" w:fill="FFFFFF"/>
        </w:rPr>
        <w:t xml:space="preserve"> и надежным до сих пор остается </w:t>
      </w:r>
      <w:r w:rsidRPr="008D7BC3">
        <w:rPr>
          <w:rStyle w:val="a4"/>
          <w:rFonts w:ascii="Times New Roman" w:hAnsi="Times New Roman" w:cs="Times New Roman"/>
          <w:i/>
          <w:iCs/>
          <w:color w:val="111111"/>
          <w:sz w:val="28"/>
          <w:szCs w:val="23"/>
          <w:shd w:val="clear" w:color="auto" w:fill="FFFFFF"/>
        </w:rPr>
        <w:t>последовательный интерфейс</w:t>
      </w:r>
      <w:r>
        <w:rPr>
          <w:rStyle w:val="a4"/>
          <w:rFonts w:ascii="Times New Roman" w:hAnsi="Times New Roman" w:cs="Times New Roman"/>
          <w:i/>
          <w:iCs/>
          <w:color w:val="111111"/>
          <w:sz w:val="28"/>
          <w:szCs w:val="23"/>
          <w:shd w:val="clear" w:color="auto" w:fill="FFFFFF"/>
        </w:rPr>
        <w:t xml:space="preserve"> </w:t>
      </w:r>
      <w:r w:rsidRPr="008D7BC3">
        <w:rPr>
          <w:rStyle w:val="a3"/>
          <w:rFonts w:ascii="Times New Roman" w:hAnsi="Times New Roman" w:cs="Times New Roman"/>
          <w:b/>
          <w:bCs/>
          <w:i w:val="0"/>
          <w:color w:val="111111"/>
          <w:sz w:val="28"/>
          <w:szCs w:val="23"/>
          <w:shd w:val="clear" w:color="auto" w:fill="FFFFFF"/>
        </w:rPr>
        <w:t>RS-485</w:t>
      </w:r>
      <w:r w:rsidRPr="008D7BC3">
        <w:rPr>
          <w:rStyle w:val="a3"/>
          <w:rFonts w:ascii="Times New Roman" w:hAnsi="Times New Roman" w:cs="Times New Roman"/>
          <w:i w:val="0"/>
          <w:color w:val="111111"/>
          <w:sz w:val="28"/>
          <w:szCs w:val="23"/>
          <w:shd w:val="clear" w:color="auto" w:fill="FFFFFF"/>
        </w:rPr>
        <w:t>.</w:t>
      </w:r>
    </w:p>
    <w:p w:rsidR="008D7BC3" w:rsidRPr="008D7BC3" w:rsidRDefault="008D7BC3" w:rsidP="008D7BC3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3"/>
          <w:shd w:val="clear" w:color="auto" w:fill="FFFFFF"/>
        </w:rPr>
      </w:pPr>
      <w:r w:rsidRPr="008D7BC3">
        <w:rPr>
          <w:rFonts w:ascii="Times New Roman" w:hAnsi="Times New Roman" w:cs="Times New Roman"/>
          <w:color w:val="111111"/>
          <w:sz w:val="28"/>
          <w:szCs w:val="23"/>
          <w:shd w:val="clear" w:color="auto" w:fill="FFFFFF"/>
        </w:rPr>
        <w:t>Стандарт TIA/EIA-485 допускает использование RS-485 на расстоянии до 1200 м. На более коротких дистанциях скорости передачи данных – более 40 Мбит/с. Использование дифференциального сигнала обеспечивает интерфейсу RS-485 более высокую дальность, однако скорость передачи данных уменьшается по мере увеличения длины линии. На скорость передачи данных влияет также площадь сечения проводов линии и число устройств, подключенных к ней.</w:t>
      </w:r>
    </w:p>
    <w:p w:rsidR="008D7BC3" w:rsidRPr="008D7BC3" w:rsidRDefault="008D7BC3" w:rsidP="008D7BC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D7BC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E6D690E" wp14:editId="7664257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531995" cy="2133600"/>
            <wp:effectExtent l="0" t="0" r="1905" b="0"/>
            <wp:wrapThrough wrapText="bothSides">
              <wp:wrapPolygon edited="0">
                <wp:start x="0" y="0"/>
                <wp:lineTo x="0" y="21407"/>
                <wp:lineTo x="21518" y="21407"/>
                <wp:lineTo x="21518" y="0"/>
                <wp:lineTo x="0" y="0"/>
              </wp:wrapPolygon>
            </wp:wrapThrough>
            <wp:docPr id="1" name="Рисунок 1" descr="Рис. 2. Многоточечная полудуплексная приемопередающая система, используемая в промышленных приложения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2. Многоточечная полудуплексная приемопередающая система, используемая в промышленных приложения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D7BC3" w:rsidRPr="008D7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07"/>
    <w:rsid w:val="0001261F"/>
    <w:rsid w:val="007A6607"/>
    <w:rsid w:val="00835A16"/>
    <w:rsid w:val="00886F21"/>
    <w:rsid w:val="008D7BC3"/>
    <w:rsid w:val="00C9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8C139"/>
  <w15:chartTrackingRefBased/>
  <w15:docId w15:val="{E266C0C4-2E8F-4A2F-9531-A0C63CCF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D7BC3"/>
    <w:rPr>
      <w:i/>
      <w:iCs/>
    </w:rPr>
  </w:style>
  <w:style w:type="character" w:styleId="a4">
    <w:name w:val="Strong"/>
    <w:basedOn w:val="a0"/>
    <w:uiPriority w:val="22"/>
    <w:qFormat/>
    <w:rsid w:val="008D7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1156</Characters>
  <Application>Microsoft Office Word</Application>
  <DocSecurity>0</DocSecurity>
  <Lines>9</Lines>
  <Paragraphs>2</Paragraphs>
  <ScaleCrop>false</ScaleCrop>
  <Company>SPecialiST RePack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𝒰𝓁𝓉𝓇𝒶 𝒱𝒾𝑜𝓁𝑒𝓉</dc:creator>
  <cp:keywords/>
  <dc:description/>
  <cp:lastModifiedBy>𝒰𝓁𝓉𝓇𝒶 𝒱𝒾𝑜𝓁𝑒𝓉</cp:lastModifiedBy>
  <cp:revision>7</cp:revision>
  <dcterms:created xsi:type="dcterms:W3CDTF">2020-10-02T16:55:00Z</dcterms:created>
  <dcterms:modified xsi:type="dcterms:W3CDTF">2020-10-13T16:25:00Z</dcterms:modified>
</cp:coreProperties>
</file>