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57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57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57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57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58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6C1D9DFE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59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lang w:val="en-US"/>
        </w:rPr>
        <w:t xml:space="preserve">3</w:t>
      </w:r>
      <w:r>
        <w:rPr>
          <w:highlight w:val="none"/>
        </w:rPr>
      </w:r>
      <w:r>
        <w:rPr>
          <w:highlight w:val="none"/>
        </w:rPr>
      </w:r>
    </w:p>
    <w:p w14:paraId="62C9D2EB">
      <w:pPr>
        <w:pStyle w:val="959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  <w:t xml:space="preserve">МикроЭВМ СМ-1800 и её эмулятор на ПК</w:t>
      </w:r>
      <w:r>
        <w:rPr>
          <w:highlight w:val="none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none"/>
        </w:rPr>
      </w:r>
      <w:r>
        <w:rPr>
          <w:highlight w:val="yellow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7D4DEDF3">
          <w:pPr>
            <w:pStyle w:val="940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38"/>
              </w:rPr>
            </w:r>
            <w:r>
              <w:rPr>
                <w:rStyle w:val="938"/>
              </w:rPr>
              <w:t xml:space="preserve">1. </w:t>
            </w:r>
            <w:r>
              <w:rPr>
                <w:rStyle w:val="938"/>
              </w:rPr>
              <w:t xml:space="preserve">Цель работы и задание</w:t>
            </w:r>
            <w:r>
              <w:rPr>
                <w:rStyle w:val="93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2F222FB6">
          <w:pPr>
            <w:pStyle w:val="940"/>
            <w:pBdr/>
            <w:tabs>
              <w:tab w:val="right" w:leader="dot" w:pos="9355"/>
            </w:tabs>
            <w:spacing/>
            <w:ind w:right="0" w:firstLine="0" w:left="0"/>
            <w:rPr/>
          </w:pPr>
          <w:hyperlink w:tooltip="#_Toc2" w:anchor="_Toc2" w:history="1">
            <w:r>
              <w:rPr>
                <w:rStyle w:val="938"/>
              </w:rPr>
            </w:r>
            <w:r>
              <w:rPr>
                <w:rStyle w:val="938"/>
              </w:rPr>
              <w:t xml:space="preserve">2. О</w:t>
            </w:r>
            <w:r>
              <w:rPr>
                <w:rStyle w:val="938"/>
              </w:rPr>
              <w:t xml:space="preserve">тветы на контрольные вопросы</w:t>
            </w:r>
            <w:r>
              <w:rPr>
                <w:rStyle w:val="938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43131A22">
          <w:pPr>
            <w:pStyle w:val="940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hyperlink w:tooltip="#_Toc3" w:anchor="_Toc3" w:history="1">
            <w:r>
              <w:rPr>
                <w:rStyle w:val="938"/>
              </w:rPr>
            </w:r>
            <w:r>
              <w:rPr>
                <w:rStyle w:val="938"/>
              </w:rPr>
              <w:t xml:space="preserve">3. Таблица результатов практической работы</w:t>
            </w:r>
            <w:r>
              <w:rPr>
                <w:rStyle w:val="938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</w:p>
        <w:p w14:paraId="56E25075">
          <w:pPr>
            <w:pStyle w:val="940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hyperlink w:tooltip="#_Toc4" w:anchor="_Toc4" w:history="1">
            <w:r>
              <w:rPr>
                <w:rStyle w:val="938"/>
              </w:rPr>
            </w:r>
            <w:r>
              <w:rPr>
                <w:rStyle w:val="938"/>
              </w:rPr>
              <w:t xml:space="preserve">4. </w:t>
            </w:r>
            <w:r>
              <w:rPr>
                <w:rStyle w:val="938"/>
              </w:rPr>
              <w:t xml:space="preserve">Выводы по работе</w:t>
            </w:r>
            <w:r>
              <w:rPr>
                <w:rStyle w:val="93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14:ligatures w14:val="none"/>
            </w:rPr>
          </w:r>
        </w:p>
        <w:p w14:paraId="5E340E97">
          <w:pPr>
            <w:pBdr/>
            <w:spacing/>
            <w:ind w:right="0" w:firstLine="0" w:left="0"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/>
    </w:p>
    <w:p w14:paraId="11FA1B2F">
      <w:pPr>
        <w:pStyle w:val="893"/>
        <w:pBdr/>
        <w:spacing w:after="62" w:afterAutospacing="0" w:before="238" w:beforeAutospacing="0"/>
        <w:ind/>
        <w:rPr>
          <w14:ligatures w14:val="none"/>
        </w:rPr>
      </w:pPr>
      <w:r/>
      <w:bookmarkStart w:id="1" w:name="_Toc1"/>
      <w:r>
        <w:t xml:space="preserve">1. </w:t>
      </w:r>
      <w:r>
        <w:t xml:space="preserve">Цель работы и задание</w:t>
      </w:r>
      <w:r/>
      <w:bookmarkEnd w:id="1"/>
      <w:r/>
      <w:r>
        <w:rPr>
          <w14:ligatures w14:val="none"/>
        </w:rPr>
      </w:r>
    </w:p>
    <w:p w14:paraId="1F5B0046">
      <w:pPr>
        <w:pBdr/>
        <w:spacing/>
        <w:ind/>
        <w:rPr>
          <w:highlight w:val="none"/>
          <w:lang w:val="ru-RU"/>
        </w:rPr>
      </w:pPr>
      <w:r>
        <w:t xml:space="preserve">Целью данной работы является изучение архитектуры микроЭВМ на основе программного продукта </w:t>
      </w:r>
      <w:r>
        <w:rPr>
          <w:lang w:val="en-US"/>
        </w:rPr>
        <w:t xml:space="preserve">“</w:t>
      </w:r>
      <w:r>
        <w:rPr>
          <w:lang w:val="ru-RU"/>
        </w:rPr>
        <w:t xml:space="preserve">Эмулятор </w:t>
      </w:r>
      <w:r>
        <w:rPr>
          <w:lang w:val="en-US"/>
        </w:rPr>
        <w:t xml:space="preserve">CM-1800</w:t>
      </w:r>
      <w:r>
        <w:rPr>
          <w:lang w:val="en-US"/>
        </w:rPr>
        <w:t xml:space="preserve">”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приобретение навыков работы с ним, таких как запись программы, выполнение и отладка записанной программы, а также её анализ.</w:t>
      </w:r>
      <w:r>
        <w:rPr>
          <w:highlight w:val="none"/>
          <w:lang w:val="ru-RU"/>
        </w:rPr>
        <w:t xml:space="preserve"> Для этого необходимо проделать следующие шаги: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05C71DC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записать учебную программу в оперативную память ЭВМ,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9842C3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выполнить записанную программу,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095B45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ещё выполнить программу, с остановкой в середине выполнения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006F8E3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проанализировать код учебной программы и узнать, что происходит в процессе её выполнения.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1C79A8">
      <w:pPr>
        <w:pStyle w:val="893"/>
        <w:pBdr/>
        <w:spacing/>
        <w:ind/>
        <w:rPr>
          <w:sz w:val="28"/>
          <w:szCs w:val="28"/>
        </w:rPr>
      </w:pPr>
      <w:r/>
      <w:bookmarkStart w:id="2" w:name="_Toc2"/>
      <w:r>
        <w:rPr>
          <w:sz w:val="28"/>
          <w:szCs w:val="28"/>
        </w:rPr>
        <w:t xml:space="preserve">2. О</w:t>
      </w:r>
      <w:r>
        <w:rPr>
          <w:sz w:val="28"/>
          <w:szCs w:val="28"/>
        </w:rPr>
        <w:t xml:space="preserve">тветы на контрольные вопросы</w:t>
      </w:r>
      <w:r/>
      <w:bookmarkEnd w:id="2"/>
      <w:r/>
      <w:r>
        <w:rPr>
          <w:sz w:val="28"/>
          <w:szCs w:val="28"/>
        </w:rPr>
      </w:r>
    </w:p>
    <w:p w14:paraId="481BEE8D">
      <w:pPr>
        <w:numPr>
          <w:ilvl w:val="0"/>
          <w:numId w:val="8"/>
        </w:numPr>
        <w:pBdr/>
        <w:spacing/>
        <w:ind w:firstLine="425" w:left="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highlight w:val="none"/>
          <w:lang w:val="ru-RU"/>
        </w:rPr>
        <w:t xml:space="preserve">ПКУ реализует прямой доступ к памяти и выполнению команд, с помощью него можно выполнять программу пошагово, выполнять произвольную команду, </w:t>
      </w:r>
      <w:r>
        <w:rPr>
          <w:highlight w:val="none"/>
          <w:lang w:val="ru-RU"/>
        </w:rPr>
        <w:t xml:space="preserve">читать и записывать данные в ячейки памяти, имитировать сигналы прерывания и сбрасывать ЭВМ в исходное состояние.</w:t>
      </w:r>
      <w:r>
        <w:rPr>
          <w:sz w:val="28"/>
          <w:szCs w:val="28"/>
        </w:rPr>
      </w:r>
    </w:p>
    <w:p w14:paraId="41950EBE">
      <w:pPr>
        <w:pBdr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Чтобы установить ЭВМ в исходное состояние нужно нажать переключатель СБРОС на ПКУ, после нажатия в программный счетчик </w:t>
      </w:r>
      <w:r>
        <w:rPr>
          <w:sz w:val="28"/>
          <w:szCs w:val="28"/>
          <w:highlight w:val="none"/>
          <w:lang w:val="en-US"/>
        </w:rPr>
        <w:t xml:space="preserve">(PC)</w:t>
      </w:r>
      <w:r>
        <w:rPr>
          <w:sz w:val="28"/>
          <w:szCs w:val="28"/>
          <w:highlight w:val="none"/>
        </w:rPr>
        <w:t xml:space="preserve"> будет записан </w:t>
      </w:r>
      <w:r>
        <w:rPr>
          <w:sz w:val="28"/>
          <w:szCs w:val="28"/>
          <w:highlight w:val="none"/>
          <w:lang w:val="en-US"/>
        </w:rPr>
        <w:t xml:space="preserve">0, </w:t>
      </w:r>
      <w:r>
        <w:rPr>
          <w:sz w:val="28"/>
          <w:szCs w:val="28"/>
          <w:highlight w:val="none"/>
          <w:lang w:val="ru-RU"/>
        </w:rPr>
        <w:t xml:space="preserve">то есть выполнение команд начнется с самого начала оперативной памяти.</w:t>
      </w:r>
      <w:r>
        <w:rPr>
          <w:highlight w:val="none"/>
        </w:rPr>
      </w:r>
    </w:p>
    <w:p w14:paraId="2A06B7F6">
      <w:pPr>
        <w:pBdr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Чтобы прочитать данные из ячейки памяти нужно включить переключатель ЗХ, переключатель АВТ/ОДН установить в положение ОДН, на переключателях АДРЕСС набрать адрес в памяти, который нужно прочитать, затем нажать переключатель ВП, таким образом на индикаторах ДАННЫЕ будут отображены данные, записанные по введенному адресу. Чтобы произвести запись, перед вводом адреса нужно перевести переключатель ЧТ/ЗАП в положение ЗП, ввести адрес, переключателями ДАННЫЕ ввести необходимые для записи данные, после чего нажать ВП. Если нужно произвести чтение</w:t>
      </w:r>
      <w:r>
        <w:rPr>
          <w:sz w:val="28"/>
          <w:szCs w:val="28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  <w:lang w:val="ru-RU"/>
        </w:rPr>
        <w:t xml:space="preserve">запись из портов ввода/вывода – следует установить переключатель ЗУ/УВВ в положение УВВ.</w:t>
      </w:r>
      <w:r>
        <w:rPr>
          <w:sz w:val="28"/>
          <w:szCs w:val="28"/>
          <w:highlight w:val="none"/>
          <w:lang w:val="ru-RU"/>
        </w:rPr>
      </w:r>
    </w:p>
    <w:p w14:paraId="5B8D26A2">
      <w:p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Чтобы выполнить произвольную команду нужно </w:t>
      </w:r>
      <w:r>
        <w:rPr>
          <w:sz w:val="28"/>
          <w:szCs w:val="28"/>
          <w:highlight w:val="none"/>
          <w:lang w:val="ru-RU" w:bidi="ru-RU"/>
        </w:rPr>
        <w:t xml:space="preserve">набрать команду на переключателях ДАННЫЕ (код команды) и АДРЕС (аргументы), на ПКУ активировать СТОП и нажать КОМ С ПУЛЬТА, затем нажать ПУСК столько раз, сколько места в памяти занимает команда.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 w:bidi="ru-RU"/>
        </w:rPr>
      </w:r>
    </w:p>
    <w:p w14:paraId="6C409779">
      <w:pPr>
        <w:pStyle w:val="893"/>
        <w:pBdr/>
        <w:spacing/>
        <w:ind/>
        <w:rPr>
          <w:sz w:val="28"/>
          <w:szCs w:val="28"/>
          <w:highlight w:val="none"/>
        </w:rPr>
      </w:pPr>
      <w:r/>
      <w:bookmarkStart w:id="3" w:name="_Toc3"/>
      <w:r/>
      <w:r>
        <w:rPr>
          <w:sz w:val="28"/>
          <w:szCs w:val="28"/>
        </w:rPr>
        <w:t xml:space="preserve">3. Таблица результатов практической работы</w:t>
      </w:r>
      <w:r/>
      <w:bookmarkEnd w:id="3"/>
      <w:r/>
      <w:r>
        <w:rPr>
          <w:sz w:val="28"/>
          <w:szCs w:val="28"/>
          <w:highlight w:val="none"/>
        </w:rPr>
      </w:r>
    </w:p>
    <w:p w14:paraId="6B4CF65C">
      <w:pPr>
        <w:pBdr/>
        <w:spacing w:line="264" w:lineRule="auto"/>
        <w:ind w:firstLine="0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</w:r>
      <w:r>
        <w:rPr>
          <w:sz w:val="28"/>
          <w:szCs w:val="28"/>
        </w:rPr>
        <w:t xml:space="preserve">Таблица 1 – Результаты практической работы</w:t>
      </w:r>
      <w:r>
        <w:rPr>
          <w:sz w:val="28"/>
          <w:szCs w:val="28"/>
          <w:highlight w:val="yellow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26"/>
        <w:gridCol w:w="2527"/>
        <w:gridCol w:w="4902"/>
      </w:tblGrid>
      <w:tr>
        <w:trPr/>
        <w:tc>
          <w:tcPr>
            <w:tcBorders/>
            <w:tcW w:w="1926" w:type="dxa"/>
            <w:textDirection w:val="lrTb"/>
            <w:noWrap w:val="false"/>
          </w:tcPr>
          <w:p w14:paraId="4F5C368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E6A67B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919E33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054F2A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SP</w:t>
            </w:r>
            <w:r>
              <w:rPr>
                <w:sz w:val="28"/>
                <w:szCs w:val="28"/>
              </w:rPr>
              <w:t xml:space="preserve">,8000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219172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19BA034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8000h </w:t>
            </w:r>
            <w:r>
              <w:rPr>
                <w:sz w:val="28"/>
                <w:szCs w:val="28"/>
                <w:lang w:val="ru-RU"/>
              </w:rPr>
              <w:t xml:space="preserve">в регистр </w:t>
            </w:r>
            <w:r>
              <w:rPr>
                <w:sz w:val="28"/>
                <w:szCs w:val="28"/>
                <w:lang w:val="en-US"/>
              </w:rPr>
              <w:t xml:space="preserve">SP </w:t>
            </w:r>
            <w:r>
              <w:rPr>
                <w:sz w:val="28"/>
                <w:szCs w:val="28"/>
                <w:lang w:val="ru-RU"/>
              </w:rPr>
              <w:t xml:space="preserve">– указатель на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2381A49E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  <w:t xml:space="preserve">,4030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7FD2FE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27D5BD8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4030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7DCFA69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M, 80h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594C18C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826307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  <w:lang w:val="ru-RU"/>
              </w:rPr>
              <w:t xml:space="preserve">4030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1620EF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94B571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75C60F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Увеличение адреса в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(</w:t>
            </w:r>
            <w:r>
              <w:rPr>
                <w:sz w:val="28"/>
                <w:szCs w:val="28"/>
                <w:lang w:val="ru-RU"/>
              </w:rPr>
              <w:t xml:space="preserve">4031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B56025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M,8Fh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2A7A46C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5F2F3C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</w:t>
            </w:r>
            <w:r>
              <w:rPr>
                <w:sz w:val="28"/>
                <w:szCs w:val="28"/>
                <w:lang w:val="en-US"/>
              </w:rPr>
              <w:t xml:space="preserve">F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403</w:t>
            </w:r>
            <w:r>
              <w:rPr>
                <w:sz w:val="28"/>
                <w:szCs w:val="28"/>
                <w:lang w:val="en-US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B883DE5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LDA 4030h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5897701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B36A08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Загрузить в аккумулятор значение по адресу 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</w:t>
            </w:r>
            <w:r>
              <w:rPr>
                <w:sz w:val="28"/>
                <w:szCs w:val="28"/>
                <w:lang w:val="ru-RU"/>
              </w:rPr>
              <w:t xml:space="preserve">там записано 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AFA327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ADD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0DAEDC1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194EC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Сумму значений в аккумуляторе (80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и по адресу </w:t>
            </w:r>
            <w:r>
              <w:rPr>
                <w:sz w:val="28"/>
                <w:szCs w:val="28"/>
                <w:lang w:val="en-US"/>
              </w:rPr>
              <w:t xml:space="preserve">H,L (8Fh) </w:t>
            </w:r>
            <w:r>
              <w:rPr>
                <w:sz w:val="28"/>
                <w:szCs w:val="28"/>
                <w:lang w:val="ru-RU"/>
              </w:rPr>
              <w:t xml:space="preserve">записать в аккумулятор (80</w:t>
            </w:r>
            <w:r>
              <w:rPr>
                <w:sz w:val="28"/>
                <w:szCs w:val="28"/>
                <w:lang w:val="en-US"/>
              </w:rPr>
              <w:t xml:space="preserve">h + 8Fh</w:t>
            </w:r>
            <w:r>
              <w:rPr>
                <w:sz w:val="28"/>
                <w:szCs w:val="28"/>
                <w:lang w:val="ru-RU"/>
              </w:rPr>
              <w:t xml:space="preserve"> = 10</w:t>
            </w:r>
            <w:r>
              <w:rPr>
                <w:sz w:val="28"/>
                <w:szCs w:val="28"/>
                <w:lang w:val="en-US"/>
              </w:rPr>
              <w:t xml:space="preserve">Fh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4E3663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STA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4032h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F1F32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;чт;чт;зап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ECBEB5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Сохранить значение аккумулятора </w:t>
            </w:r>
            <w:r>
              <w:rPr>
                <w:sz w:val="28"/>
                <w:szCs w:val="28"/>
                <w:lang w:val="en-US"/>
              </w:rPr>
              <w:t xml:space="preserve">(10</w:t>
            </w:r>
            <w:r>
              <w:rPr>
                <w:sz w:val="28"/>
                <w:szCs w:val="28"/>
                <w:lang w:val="en-US"/>
              </w:rPr>
              <w:t xml:space="preserve">Fh)</w:t>
            </w:r>
            <w:r>
              <w:rPr>
                <w:sz w:val="28"/>
                <w:szCs w:val="28"/>
                <w:lang w:val="ru-RU"/>
              </w:rPr>
              <w:t xml:space="preserve"> по адресу 4032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0AD8D8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4CDE6DF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DC4830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CB817E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C3h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78858E4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7855910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C3h (</w:t>
            </w:r>
            <w:r>
              <w:rPr>
                <w:sz w:val="28"/>
                <w:szCs w:val="28"/>
                <w:lang w:val="ru-RU"/>
              </w:rPr>
              <w:t xml:space="preserve">код команды </w:t>
            </w:r>
            <w:r>
              <w:rPr>
                <w:sz w:val="28"/>
                <w:szCs w:val="28"/>
                <w:lang w:val="en-US"/>
              </w:rPr>
              <w:t xml:space="preserve">JMP</w:t>
            </w:r>
            <w:r>
              <w:rPr>
                <w:sz w:val="28"/>
                <w:szCs w:val="28"/>
                <w:lang w:val="en-US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844CC7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07CD55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37CF0CA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5F402C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FB7103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10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279F160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97DFEC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92E8AE3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47h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2024510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47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EBB4D0A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4710h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0C6AAE7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44A994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C9h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4FDDA7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  <w:lang w:val="ru-RU"/>
              </w:rPr>
              <w:t xml:space="preserve">9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(код команды </w:t>
            </w: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1926" w:type="dxa"/>
            <w:textDirection w:val="lrTb"/>
            <w:noWrap w:val="false"/>
          </w:tcPr>
          <w:p w14:paraId="07D31D2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CALL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527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9CC819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042BC03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391212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4902" w:type="dxa"/>
            <w:textDirection w:val="lrTb"/>
            <w:noWrap w:val="false"/>
          </w:tcPr>
          <w:p w14:paraId="33AA0D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Вызов подпрограммы, записанной по адресу </w:t>
            </w:r>
            <w:r>
              <w:rPr>
                <w:sz w:val="28"/>
                <w:szCs w:val="28"/>
                <w:lang w:val="en-US"/>
              </w:rPr>
              <w:t xml:space="preserve">4700h</w:t>
            </w:r>
            <w:r>
              <w:rPr>
                <w:sz w:val="28"/>
                <w:szCs w:val="28"/>
                <w:lang w:val="ru-RU"/>
              </w:rPr>
              <w:t xml:space="preserve">, перед этим записать адрес следующей команды для возврата 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1926" w:type="dxa"/>
            <w:vMerge w:val="restart"/>
            <w:textDirection w:val="lrTb"/>
            <w:noWrap w:val="false"/>
          </w:tcPr>
          <w:p w14:paraId="27BFFF5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2527" w:type="dxa"/>
            <w:vMerge w:val="restart"/>
            <w:textDirection w:val="lrTb"/>
            <w:noWrap w:val="false"/>
          </w:tcPr>
          <w:p w14:paraId="17E5DFE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4902" w:type="dxa"/>
            <w:vMerge w:val="restart"/>
            <w:textDirection w:val="lrTb"/>
            <w:noWrap w:val="false"/>
          </w:tcPr>
          <w:p w14:paraId="6F8477B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37447096">
      <w:pPr>
        <w:pBdr/>
        <w:spacing/>
        <w:ind w:right="0" w:firstLine="0" w:left="0"/>
        <w:rPr/>
      </w:pPr>
      <w:r/>
      <w:r>
        <w:rPr>
          <w:sz w:val="28"/>
          <w:szCs w:val="28"/>
        </w:rPr>
        <w:t xml:space="preserve">Продолжение таблицы</w:t>
      </w:r>
      <w:r/>
      <w:r>
        <w:t xml:space="preserve"> 1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26"/>
        <w:gridCol w:w="2527"/>
        <w:gridCol w:w="490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1" w:type="dxa"/>
            <w:vMerge w:val="restart"/>
            <w:textDirection w:val="lrTb"/>
            <w:noWrap w:val="false"/>
          </w:tcPr>
          <w:p w14:paraId="10405BFA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 w14:paraId="2EB7A1A5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067" w:type="dxa"/>
            <w:vMerge w:val="restart"/>
            <w:textDirection w:val="lrTb"/>
            <w:noWrap w:val="false"/>
          </w:tcPr>
          <w:p w14:paraId="6FDC9B60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1" w:type="dxa"/>
            <w:textDirection w:val="lrTb"/>
            <w:noWrap w:val="false"/>
          </w:tcPr>
          <w:p w14:paraId="3D84BA5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JMP 4710h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 w14:paraId="6C69371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067" w:type="dxa"/>
            <w:textDirection w:val="lrTb"/>
            <w:noWrap w:val="false"/>
          </w:tcPr>
          <w:p w14:paraId="508036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Подпрограмма записанная прошлыми шагами по адресу 4700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, безусловный переход к выполнению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команд</w:t>
            </w:r>
            <w:r>
              <w:rPr>
                <w:sz w:val="28"/>
                <w:szCs w:val="28"/>
                <w:lang w:val="ru-RU"/>
              </w:rPr>
              <w:t xml:space="preserve"> с адреса </w:t>
            </w:r>
            <w:r>
              <w:rPr>
                <w:sz w:val="28"/>
                <w:szCs w:val="28"/>
                <w:lang w:val="en-US"/>
              </w:rPr>
              <w:t xml:space="preserve">4710h</w:t>
              <w:tab/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</w:tcBorders>
            <w:tcW w:w="1951" w:type="dxa"/>
            <w:textDirection w:val="lrTb"/>
            <w:noWrap w:val="false"/>
          </w:tcPr>
          <w:p w14:paraId="1B8FDC3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</w:tcBorders>
            <w:tcW w:w="2552" w:type="dxa"/>
            <w:textDirection w:val="lrTb"/>
            <w:noWrap w:val="false"/>
          </w:tcPr>
          <w:p w14:paraId="4ED7A14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2E6015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69687A6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63960D3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</w:tcBorders>
            <w:tcW w:w="5067" w:type="dxa"/>
            <w:textDirection w:val="lrTb"/>
            <w:noWrap w:val="false"/>
          </w:tcPr>
          <w:p w14:paraId="514D8927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Команда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записанная </w:t>
            </w:r>
            <w:r>
              <w:rPr>
                <w:sz w:val="28"/>
                <w:szCs w:val="28"/>
                <w:lang w:val="ru-RU"/>
              </w:rPr>
              <w:t xml:space="preserve">прошлым</w:t>
            </w:r>
            <w:r>
              <w:rPr>
                <w:sz w:val="28"/>
                <w:szCs w:val="28"/>
                <w:lang w:val="ru-RU"/>
              </w:rPr>
              <w:t xml:space="preserve">и шагами по адресу 4710</w:t>
            </w:r>
            <w:r>
              <w:rPr>
                <w:sz w:val="28"/>
                <w:szCs w:val="28"/>
                <w:lang w:val="en-US"/>
              </w:rPr>
              <w:t xml:space="preserve">h, </w:t>
            </w:r>
            <w:r>
              <w:rPr>
                <w:sz w:val="28"/>
                <w:szCs w:val="28"/>
                <w:lang w:val="ru-RU"/>
              </w:rPr>
              <w:t xml:space="preserve">выход из вызванной подпрограммы к адресу возврата </w:t>
            </w:r>
            <w:r>
              <w:rPr>
                <w:sz w:val="28"/>
                <w:szCs w:val="28"/>
                <w:lang w:val="ru-RU"/>
              </w:rPr>
              <w:t xml:space="preserve">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ru-RU"/>
              </w:rPr>
              <w:t xml:space="preserve">, взятому из стека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3CE5767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HLT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65A5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;ост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7EB5016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Останов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4BDF04DA">
      <w:pPr>
        <w:pBdr/>
        <w:spacing w:line="264" w:lineRule="auto"/>
        <w:ind w:firstLine="708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6920B7">
      <w:pPr>
        <w:pBdr/>
        <w:spacing w:line="264" w:lineRule="auto"/>
        <w:ind w:right="0" w:firstLine="709" w:left="0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Список машинных циклов, встретившихся при выполнении программы с соответствующей индикацией: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3196B43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м1+чт</w:t>
      </w:r>
      <w:r>
        <w:rPr>
          <w:sz w:val="28"/>
          <w:szCs w:val="28"/>
          <w:highlight w:val="none"/>
        </w:rPr>
        <w:t xml:space="preserve"> – выполняется чтение первого байта команды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B99224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чт – выполняется чтение ячейки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0423C2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зап – выполняется запись в ячейку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7F60E3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чт+стек</w:t>
      </w:r>
      <w:r>
        <w:rPr>
          <w:sz w:val="28"/>
          <w:szCs w:val="28"/>
          <w:highlight w:val="none"/>
        </w:rPr>
        <w:t xml:space="preserve"> – выполняется чтение из стека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E5B418D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зап+стек</w:t>
      </w:r>
      <w:r>
        <w:rPr>
          <w:sz w:val="28"/>
          <w:szCs w:val="28"/>
          <w:highlight w:val="none"/>
        </w:rPr>
        <w:t xml:space="preserve"> – выполняется запись в стек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16E7D8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ост – останов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SimSun">
    <w:panose1 w:val="0200050600000002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29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29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29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2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2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7">
    <w:name w:val="Table Grid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 Light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1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2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1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2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3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5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6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Heading 1"/>
    <w:basedOn w:val="952"/>
    <w:next w:val="952"/>
    <w:link w:val="903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894">
    <w:name w:val="Heading 2"/>
    <w:basedOn w:val="952"/>
    <w:next w:val="952"/>
    <w:link w:val="9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5">
    <w:name w:val="Heading 3"/>
    <w:basedOn w:val="952"/>
    <w:next w:val="952"/>
    <w:link w:val="9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6">
    <w:name w:val="Heading 4"/>
    <w:basedOn w:val="952"/>
    <w:next w:val="952"/>
    <w:link w:val="9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7">
    <w:name w:val="Heading 5"/>
    <w:basedOn w:val="952"/>
    <w:next w:val="952"/>
    <w:link w:val="9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8">
    <w:name w:val="Heading 6"/>
    <w:basedOn w:val="952"/>
    <w:next w:val="952"/>
    <w:link w:val="90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9">
    <w:name w:val="Heading 7"/>
    <w:basedOn w:val="952"/>
    <w:next w:val="952"/>
    <w:link w:val="90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0">
    <w:name w:val="Heading 8"/>
    <w:basedOn w:val="952"/>
    <w:next w:val="952"/>
    <w:link w:val="91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1">
    <w:name w:val="Heading 9"/>
    <w:basedOn w:val="952"/>
    <w:next w:val="952"/>
    <w:link w:val="91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2" w:default="1">
    <w:name w:val="Default Paragraph Font"/>
    <w:uiPriority w:val="1"/>
    <w:semiHidden/>
    <w:unhideWhenUsed/>
    <w:pPr>
      <w:pBdr/>
      <w:spacing/>
      <w:ind/>
    </w:pPr>
  </w:style>
  <w:style w:type="character" w:styleId="903">
    <w:name w:val="Heading 1 Char"/>
    <w:link w:val="893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04">
    <w:name w:val="Heading 2 Char"/>
    <w:basedOn w:val="902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5">
    <w:name w:val="Heading 3 Char"/>
    <w:basedOn w:val="902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6">
    <w:name w:val="Heading 4 Char"/>
    <w:basedOn w:val="902"/>
    <w:link w:val="8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7">
    <w:name w:val="Heading 5 Char"/>
    <w:basedOn w:val="902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8">
    <w:name w:val="Heading 6 Char"/>
    <w:basedOn w:val="902"/>
    <w:link w:val="8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9">
    <w:name w:val="Heading 7 Char"/>
    <w:basedOn w:val="902"/>
    <w:link w:val="8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0">
    <w:name w:val="Heading 8 Char"/>
    <w:basedOn w:val="902"/>
    <w:link w:val="9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1">
    <w:name w:val="Heading 9 Char"/>
    <w:basedOn w:val="902"/>
    <w:link w:val="9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2">
    <w:name w:val="Title"/>
    <w:basedOn w:val="952"/>
    <w:next w:val="952"/>
    <w:link w:val="91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3">
    <w:name w:val="Title Char"/>
    <w:basedOn w:val="902"/>
    <w:link w:val="9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4">
    <w:name w:val="Subtitle"/>
    <w:basedOn w:val="952"/>
    <w:next w:val="952"/>
    <w:link w:val="91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5">
    <w:name w:val="Subtitle Char"/>
    <w:basedOn w:val="902"/>
    <w:link w:val="9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6">
    <w:name w:val="Quote"/>
    <w:basedOn w:val="952"/>
    <w:next w:val="952"/>
    <w:link w:val="9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7">
    <w:name w:val="Quote Char"/>
    <w:basedOn w:val="902"/>
    <w:link w:val="9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8">
    <w:name w:val="Intense Emphasis"/>
    <w:basedOn w:val="9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9">
    <w:name w:val="Intense Quote"/>
    <w:basedOn w:val="952"/>
    <w:next w:val="952"/>
    <w:link w:val="92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0">
    <w:name w:val="Intense Quote Char"/>
    <w:basedOn w:val="902"/>
    <w:link w:val="9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1">
    <w:name w:val="Intense Reference"/>
    <w:basedOn w:val="9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2">
    <w:name w:val="Subtle Emphasis"/>
    <w:basedOn w:val="9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3">
    <w:name w:val="Emphasis"/>
    <w:basedOn w:val="902"/>
    <w:uiPriority w:val="20"/>
    <w:qFormat/>
    <w:pPr>
      <w:pBdr/>
      <w:spacing/>
      <w:ind/>
    </w:pPr>
    <w:rPr>
      <w:i/>
      <w:iCs/>
    </w:rPr>
  </w:style>
  <w:style w:type="character" w:styleId="924">
    <w:name w:val="Strong"/>
    <w:basedOn w:val="902"/>
    <w:uiPriority w:val="22"/>
    <w:qFormat/>
    <w:pPr>
      <w:pBdr/>
      <w:spacing/>
      <w:ind/>
    </w:pPr>
    <w:rPr>
      <w:b/>
      <w:bCs/>
    </w:rPr>
  </w:style>
  <w:style w:type="character" w:styleId="925">
    <w:name w:val="Subtle Reference"/>
    <w:basedOn w:val="9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6">
    <w:name w:val="Book Title"/>
    <w:basedOn w:val="9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7">
    <w:name w:val="Header"/>
    <w:basedOn w:val="952"/>
    <w:link w:val="9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8">
    <w:name w:val="Header Char"/>
    <w:basedOn w:val="902"/>
    <w:link w:val="927"/>
    <w:uiPriority w:val="99"/>
    <w:pPr>
      <w:pBdr/>
      <w:spacing/>
      <w:ind/>
    </w:pPr>
  </w:style>
  <w:style w:type="paragraph" w:styleId="929">
    <w:name w:val="Footer"/>
    <w:basedOn w:val="952"/>
    <w:link w:val="9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0">
    <w:name w:val="Footer Char"/>
    <w:basedOn w:val="902"/>
    <w:link w:val="929"/>
    <w:uiPriority w:val="99"/>
    <w:pPr>
      <w:pBdr/>
      <w:spacing/>
      <w:ind/>
    </w:pPr>
  </w:style>
  <w:style w:type="paragraph" w:styleId="931">
    <w:name w:val="Caption"/>
    <w:basedOn w:val="952"/>
    <w:next w:val="9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2">
    <w:name w:val="footnote text"/>
    <w:basedOn w:val="952"/>
    <w:link w:val="9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3">
    <w:name w:val="Footnote Text Char"/>
    <w:basedOn w:val="902"/>
    <w:link w:val="932"/>
    <w:uiPriority w:val="99"/>
    <w:semiHidden/>
    <w:pPr>
      <w:pBdr/>
      <w:spacing/>
      <w:ind/>
    </w:pPr>
    <w:rPr>
      <w:sz w:val="20"/>
      <w:szCs w:val="20"/>
    </w:rPr>
  </w:style>
  <w:style w:type="character" w:styleId="934">
    <w:name w:val="foot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paragraph" w:styleId="935">
    <w:name w:val="endnote text"/>
    <w:basedOn w:val="952"/>
    <w:link w:val="9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6">
    <w:name w:val="Endnote Text Char"/>
    <w:basedOn w:val="902"/>
    <w:link w:val="935"/>
    <w:uiPriority w:val="99"/>
    <w:semiHidden/>
    <w:pPr>
      <w:pBdr/>
      <w:spacing/>
      <w:ind/>
    </w:pPr>
    <w:rPr>
      <w:sz w:val="20"/>
      <w:szCs w:val="20"/>
    </w:rPr>
  </w:style>
  <w:style w:type="character" w:styleId="937">
    <w:name w:val="end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character" w:styleId="938">
    <w:name w:val="Hyperlink"/>
    <w:basedOn w:val="9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9">
    <w:name w:val="FollowedHyperlink"/>
    <w:basedOn w:val="9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0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1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2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3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4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5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6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7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8">
    <w:name w:val="toc 9"/>
    <w:basedOn w:val="952"/>
    <w:next w:val="952"/>
    <w:uiPriority w:val="39"/>
    <w:unhideWhenUsed/>
    <w:pPr>
      <w:pBdr/>
      <w:spacing w:after="100"/>
      <w:ind w:left="1760"/>
    </w:pPr>
  </w:style>
  <w:style w:type="character" w:styleId="949">
    <w:name w:val="Placeholder Text"/>
    <w:basedOn w:val="902"/>
    <w:uiPriority w:val="99"/>
    <w:semiHidden/>
    <w:pPr>
      <w:pBdr/>
      <w:spacing/>
      <w:ind/>
    </w:pPr>
    <w:rPr>
      <w:color w:val="666666"/>
    </w:r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qFormat/>
    <w:pPr>
      <w:pBdr/>
      <w:spacing w:after="0" w:afterAutospacing="0" w:line="312" w:lineRule="auto"/>
      <w:ind w:right="0" w:firstLine="709" w:left="0"/>
    </w:pPr>
    <w:rPr>
      <w:rFonts w:ascii="Times New Roman" w:hAnsi="Times New Roman" w:eastAsia="Times New Roman" w:cs="Times New Roman"/>
      <w:sz w:val="28"/>
      <w:szCs w:val="28"/>
    </w:rPr>
  </w:style>
  <w:style w:type="table" w:styleId="9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4" w:default="1">
    <w:name w:val="No List"/>
    <w:uiPriority w:val="99"/>
    <w:semiHidden/>
    <w:unhideWhenUsed/>
    <w:pPr>
      <w:pBdr/>
      <w:spacing/>
      <w:ind/>
    </w:pPr>
  </w:style>
  <w:style w:type="paragraph" w:styleId="955">
    <w:name w:val="No Spacing"/>
    <w:basedOn w:val="952"/>
    <w:uiPriority w:val="1"/>
    <w:qFormat/>
    <w:pPr>
      <w:pBdr/>
      <w:spacing w:after="0" w:line="240" w:lineRule="auto"/>
      <w:ind/>
    </w:pPr>
  </w:style>
  <w:style w:type="paragraph" w:styleId="956">
    <w:name w:val="List Paragraph"/>
    <w:basedOn w:val="952"/>
    <w:uiPriority w:val="34"/>
    <w:qFormat/>
    <w:pPr>
      <w:pBdr/>
      <w:spacing/>
      <w:ind w:left="720"/>
      <w:contextualSpacing w:val="true"/>
    </w:pPr>
  </w:style>
  <w:style w:type="paragraph" w:styleId="957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58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59" w:customStyle="1">
    <w:name w:val="Вид отчёта"/>
    <w:basedOn w:val="960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0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9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2026-09-10T13:28:27Z</dcterms:modified>
</cp:coreProperties>
</file>