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Q1: </w:t>
        <w:tab/>
        <w:t xml:space="preserve">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Q2:   </w:t>
        <w:tab/>
        <w:t xml:space="preserve">begin: 339   end: 1245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begin: </w:t>
      </w:r>
      <w:r w:rsidDel="00000000" w:rsidR="00000000" w:rsidRPr="00000000">
        <w:rPr>
          <w:rtl w:val="0"/>
        </w:rPr>
        <w:t xml:space="preserve">2420 end:  2694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Q3: </w:t>
        <w:tab/>
        <w:t xml:space="preserve">0.871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0.988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Q4: </w:t>
        <w:tab/>
        <w:t xml:space="preserve">+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Q5:</w:t>
        <w:tab/>
        <w:t xml:space="preserve">MSCSES   393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Q6: </w:t>
        <w:tab/>
        <w:t xml:space="preserve">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Q7:</w:t>
        <w:tab/>
        <w:t xml:space="preserve">begin: 320    end: 1226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begin: 2401   end  2675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Q8: </w:t>
        <w:tab/>
        <w:t xml:space="preserve">0.744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0.971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Q9:</w:t>
        <w:tab/>
        <w:t xml:space="preserve">+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Q10:</w:t>
        <w:tab/>
        <w:t xml:space="preserve">no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Q11:</w:t>
        <w:tab/>
        <w:t xml:space="preserve">1226 - 1245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Q12: </w:t>
        <w:tab/>
        <w:t xml:space="preserve">1227, the level of confidence for the sites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Q13:</w:t>
        <w:tab/>
        <w:t xml:space="preserve">GATTCCCTGG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Q14:</w:t>
        <w:tab/>
        <w:t xml:space="preserve">2401-2420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Q15: </w:t>
        <w:tab/>
        <w:t xml:space="preserve">2400,  the level of confidence for the sites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Q16:</w:t>
        <w:tab/>
        <w:t xml:space="preserve">GCAATTCCAA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Q17:</w:t>
        <w:tab/>
        <w:t xml:space="preserve">Low to High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Q18:</w:t>
        <w:tab/>
        <w:t xml:space="preserve">Low to High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Q19:</w:t>
        <w:tab/>
        <w:t xml:space="preserve">Generally low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ffffff"/>
          <w:shd w:fill="00367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ffffff"/>
          <w:shd w:fill="00367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ffffff"/>
          <w:shd w:fill="00367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