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2C95" w14:textId="561A17A7" w:rsidR="00251B6D" w:rsidRPr="006D78D8" w:rsidRDefault="005E1215">
      <w:pPr>
        <w:rPr>
          <w:rFonts w:ascii="汇文明朝体" w:eastAsia="汇文明朝体" w:hAnsi="汇文明朝体" w:hint="eastAsia"/>
          <w:sz w:val="28"/>
          <w:szCs w:val="32"/>
        </w:rPr>
      </w:pPr>
      <w:r w:rsidRPr="00C061F9">
        <w:rPr>
          <w:rFonts w:ascii="汇文明朝体" w:eastAsia="汇文明朝体" w:hAnsi="汇文明朝体" w:hint="eastAsia"/>
          <w:sz w:val="28"/>
          <w:szCs w:val="32"/>
        </w:rPr>
        <w:t>苏辙《民政策</w:t>
      </w:r>
      <w:r w:rsidR="00C061F9" w:rsidRPr="00C061F9">
        <w:rPr>
          <w:rFonts w:ascii="汇文明朝体" w:eastAsia="汇文明朝体" w:hAnsi="汇文明朝体" w:hint="eastAsia"/>
          <w:sz w:val="28"/>
          <w:szCs w:val="32"/>
        </w:rPr>
        <w:t>七</w:t>
      </w:r>
      <w:r w:rsidRPr="00C061F9">
        <w:rPr>
          <w:rFonts w:ascii="汇文明朝体" w:eastAsia="汇文明朝体" w:hAnsi="汇文明朝体" w:hint="eastAsia"/>
          <w:sz w:val="28"/>
          <w:szCs w:val="32"/>
        </w:rPr>
        <w:t>》中的</w:t>
      </w:r>
      <w:proofErr w:type="gramStart"/>
      <w:r w:rsidR="006D78D8" w:rsidRPr="006D78D8">
        <w:rPr>
          <w:rFonts w:ascii="汇文明朝体" w:eastAsia="汇文明朝体" w:hAnsi="汇文明朝体" w:hint="eastAsia"/>
          <w:sz w:val="28"/>
          <w:szCs w:val="32"/>
        </w:rPr>
        <w:t>贤良进卷整体性</w:t>
      </w:r>
      <w:proofErr w:type="gramEnd"/>
    </w:p>
    <w:p w14:paraId="1F202701" w14:textId="14C60F44" w:rsidR="00EA5376" w:rsidRPr="006D78D8" w:rsidRDefault="00425BAE" w:rsidP="00D160E1">
      <w:pPr>
        <w:rPr>
          <w:rFonts w:asciiTheme="minorEastAsia" w:hAnsiTheme="minorEastAsia" w:hint="eastAsia"/>
          <w:sz w:val="21"/>
          <w:szCs w:val="22"/>
        </w:rPr>
      </w:pPr>
      <w:r w:rsidRPr="006D78D8">
        <w:rPr>
          <w:rFonts w:asciiTheme="minorEastAsia" w:hAnsiTheme="minorEastAsia" w:hint="eastAsia"/>
          <w:sz w:val="21"/>
          <w:szCs w:val="22"/>
        </w:rPr>
        <w:t>23300120179</w:t>
      </w:r>
      <w:r w:rsidRPr="006D78D8">
        <w:rPr>
          <w:rFonts w:asciiTheme="minorEastAsia" w:hAnsiTheme="minorEastAsia" w:hint="eastAsia"/>
          <w:sz w:val="21"/>
          <w:szCs w:val="22"/>
        </w:rPr>
        <w:t>杨云雅</w:t>
      </w:r>
    </w:p>
    <w:p w14:paraId="5BAB0D04" w14:textId="6DAE076B" w:rsidR="00547126" w:rsidRPr="00EA5376" w:rsidRDefault="00D160E1" w:rsidP="00EA5376">
      <w:pPr>
        <w:ind w:firstLine="420"/>
        <w:rPr>
          <w:rFonts w:hint="eastAsia"/>
        </w:rPr>
      </w:pPr>
      <w:r w:rsidRPr="00D160E1">
        <w:t>唐代的制科</w:t>
      </w:r>
      <w:r w:rsidR="007965A7">
        <w:rPr>
          <w:rFonts w:hint="eastAsia"/>
        </w:rPr>
        <w:t>在北宋形成了完善的制度，仁宗之后更为完备</w:t>
      </w:r>
      <w:r w:rsidR="00EA5376">
        <w:rPr>
          <w:rFonts w:hint="eastAsia"/>
        </w:rPr>
        <w:t>。</w:t>
      </w:r>
      <w:r w:rsidR="007965A7">
        <w:rPr>
          <w:rFonts w:hint="eastAsia"/>
        </w:rPr>
        <w:t>经近臣推荐的考生要交出五十篇策论，这就是所谓的“贤良进卷”。</w:t>
      </w:r>
      <w:r w:rsidR="00425BAE">
        <w:rPr>
          <w:rFonts w:hint="eastAsia"/>
        </w:rPr>
        <w:t>嘉祐六年，苏轼、苏辙兄弟二人同应</w:t>
      </w:r>
      <w:r w:rsidR="00F938FA">
        <w:rPr>
          <w:rFonts w:hint="eastAsia"/>
        </w:rPr>
        <w:t>制科</w:t>
      </w:r>
      <w:r w:rsidR="00AF599F">
        <w:rPr>
          <w:rFonts w:hint="eastAsia"/>
        </w:rPr>
        <w:t>。</w:t>
      </w:r>
      <w:r w:rsidR="00F938FA">
        <w:rPr>
          <w:rFonts w:hint="eastAsia"/>
        </w:rPr>
        <w:t>五十篇进卷中都是进论与</w:t>
      </w:r>
      <w:proofErr w:type="gramStart"/>
      <w:r w:rsidR="00F938FA">
        <w:rPr>
          <w:rFonts w:hint="eastAsia"/>
        </w:rPr>
        <w:t>进策各</w:t>
      </w:r>
      <w:proofErr w:type="gramEnd"/>
      <w:r w:rsidR="00F938FA">
        <w:rPr>
          <w:rFonts w:hint="eastAsia"/>
        </w:rPr>
        <w:t>二十五篇。本文讨论的即是</w:t>
      </w:r>
      <w:r w:rsidR="00AF599F">
        <w:rPr>
          <w:rFonts w:hint="eastAsia"/>
        </w:rPr>
        <w:t>《栾城应诏集》中所收</w:t>
      </w:r>
      <w:r w:rsidR="00F938FA">
        <w:rPr>
          <w:rFonts w:hint="eastAsia"/>
        </w:rPr>
        <w:t>苏辙</w:t>
      </w:r>
      <w:r w:rsidR="000676D9">
        <w:rPr>
          <w:rFonts w:hint="eastAsia"/>
        </w:rPr>
        <w:t>《民策》十道其七</w:t>
      </w:r>
      <w:r w:rsidR="00AF599F">
        <w:rPr>
          <w:rFonts w:hint="eastAsia"/>
        </w:rPr>
        <w:t>。</w:t>
      </w:r>
      <w:proofErr w:type="gramStart"/>
      <w:r w:rsidR="00AF599F" w:rsidRPr="00AF599F">
        <w:t>论重议论</w:t>
      </w:r>
      <w:proofErr w:type="gramEnd"/>
      <w:r w:rsidR="00AF599F" w:rsidRPr="00AF599F">
        <w:t>古今之得失、</w:t>
      </w:r>
      <w:proofErr w:type="gramStart"/>
      <w:r w:rsidR="00AF599F" w:rsidRPr="00AF599F">
        <w:t>策重解决今</w:t>
      </w:r>
      <w:proofErr w:type="gramEnd"/>
      <w:r w:rsidR="00AF599F" w:rsidRPr="00AF599F">
        <w:t>之患</w:t>
      </w:r>
      <w:r w:rsidR="00EA5376">
        <w:rPr>
          <w:rFonts w:hint="eastAsia"/>
        </w:rPr>
        <w:t>，</w:t>
      </w:r>
      <w:r w:rsidR="00547126">
        <w:rPr>
          <w:rFonts w:hint="eastAsia"/>
        </w:rPr>
        <w:t>本文的策便是针对土地兼并严重的问题提出的“贷民急”的民生方案。</w:t>
      </w:r>
    </w:p>
    <w:p w14:paraId="10C707DE" w14:textId="77777777" w:rsidR="00EA5376" w:rsidRDefault="009B534C" w:rsidP="00EA5376">
      <w:pPr>
        <w:ind w:firstLine="420"/>
      </w:pPr>
      <w:r>
        <w:rPr>
          <w:rFonts w:hint="eastAsia"/>
        </w:rPr>
        <w:t>丛</w:t>
      </w:r>
      <w:r w:rsidR="00547126">
        <w:rPr>
          <w:rFonts w:hint="eastAsia"/>
        </w:rPr>
        <w:t>《民政策七</w:t>
      </w:r>
      <w:r>
        <w:rPr>
          <w:rFonts w:hint="eastAsia"/>
        </w:rPr>
        <w:t>》中我们应该</w:t>
      </w:r>
      <w:proofErr w:type="gramStart"/>
      <w:r>
        <w:rPr>
          <w:rFonts w:hint="eastAsia"/>
        </w:rPr>
        <w:t>看见进卷的</w:t>
      </w:r>
      <w:proofErr w:type="gramEnd"/>
      <w:r>
        <w:rPr>
          <w:rFonts w:hint="eastAsia"/>
        </w:rPr>
        <w:t>整体性。我们常将这些优秀</w:t>
      </w:r>
      <w:proofErr w:type="gramStart"/>
      <w:r>
        <w:rPr>
          <w:rFonts w:hint="eastAsia"/>
        </w:rPr>
        <w:t>的进策进</w:t>
      </w:r>
      <w:proofErr w:type="gramEnd"/>
      <w:r>
        <w:rPr>
          <w:rFonts w:hint="eastAsia"/>
        </w:rPr>
        <w:t>论作单篇古文赏析，本人在高中做高考模拟卷的时候就</w:t>
      </w:r>
      <w:r w:rsidR="000676D9">
        <w:rPr>
          <w:rFonts w:hint="eastAsia"/>
        </w:rPr>
        <w:t>有幸遇到</w:t>
      </w:r>
      <w:r>
        <w:rPr>
          <w:rFonts w:hint="eastAsia"/>
        </w:rPr>
        <w:t>过苏辙的这篇文章</w:t>
      </w:r>
      <w:r w:rsidR="004924A4">
        <w:rPr>
          <w:rFonts w:hint="eastAsia"/>
        </w:rPr>
        <w:t>。</w:t>
      </w:r>
      <w:r>
        <w:rPr>
          <w:rFonts w:hint="eastAsia"/>
        </w:rPr>
        <w:t>然而</w:t>
      </w:r>
      <w:r w:rsidR="008F07DE">
        <w:rPr>
          <w:rFonts w:hint="eastAsia"/>
        </w:rPr>
        <w:t>这些文章</w:t>
      </w:r>
      <w:r w:rsidR="004924A4">
        <w:rPr>
          <w:rFonts w:hint="eastAsia"/>
        </w:rPr>
        <w:t>本意</w:t>
      </w:r>
      <w:r w:rsidR="008F07DE" w:rsidRPr="008F07DE">
        <w:t>被组织为一个有结构的整体，</w:t>
      </w:r>
      <w:r w:rsidR="008F07DE">
        <w:rPr>
          <w:rFonts w:hint="eastAsia"/>
        </w:rPr>
        <w:t>是</w:t>
      </w:r>
      <w:r w:rsidR="008F07DE" w:rsidRPr="008F07DE">
        <w:t>作者的</w:t>
      </w:r>
      <w:r w:rsidR="008F07DE">
        <w:rPr>
          <w:rFonts w:hint="eastAsia"/>
        </w:rPr>
        <w:t>主张的系统表达</w:t>
      </w:r>
      <w:r w:rsidR="008F07DE" w:rsidRPr="008F07DE">
        <w:t>，</w:t>
      </w:r>
      <w:r w:rsidR="008F07DE">
        <w:rPr>
          <w:rFonts w:hint="eastAsia"/>
        </w:rPr>
        <w:t>推而广之到</w:t>
      </w:r>
      <w:r w:rsidR="008F07DE" w:rsidRPr="008F07DE">
        <w:t>对</w:t>
      </w:r>
      <w:r w:rsidR="008F07DE">
        <w:rPr>
          <w:rFonts w:hint="eastAsia"/>
        </w:rPr>
        <w:t>上至礼仪下至兵刃的</w:t>
      </w:r>
      <w:r w:rsidR="008F07DE" w:rsidRPr="008F07DE">
        <w:t>各领域具体问题的意见。</w:t>
      </w:r>
    </w:p>
    <w:p w14:paraId="11F49066" w14:textId="5784A6F1" w:rsidR="00547126" w:rsidRDefault="000676D9" w:rsidP="006D78D8">
      <w:pPr>
        <w:ind w:firstLine="420"/>
        <w:rPr>
          <w:rFonts w:hint="eastAsia"/>
        </w:rPr>
      </w:pPr>
      <w:r>
        <w:rPr>
          <w:rFonts w:hint="eastAsia"/>
        </w:rPr>
        <w:t>一是</w:t>
      </w:r>
      <w:r w:rsidR="008F07DE">
        <w:rPr>
          <w:rFonts w:hint="eastAsia"/>
        </w:rPr>
        <w:t>论</w:t>
      </w:r>
      <w:proofErr w:type="gramStart"/>
      <w:r w:rsidR="008F07DE">
        <w:rPr>
          <w:rFonts w:hint="eastAsia"/>
        </w:rPr>
        <w:t>与策间</w:t>
      </w:r>
      <w:proofErr w:type="gramEnd"/>
      <w:r w:rsidR="008F07DE">
        <w:rPr>
          <w:rFonts w:hint="eastAsia"/>
        </w:rPr>
        <w:t>互相照应的关系，比如这篇就</w:t>
      </w:r>
      <w:r>
        <w:rPr>
          <w:rFonts w:hint="eastAsia"/>
        </w:rPr>
        <w:t>是</w:t>
      </w:r>
      <w:r w:rsidR="008F07DE">
        <w:rPr>
          <w:rFonts w:hint="eastAsia"/>
        </w:rPr>
        <w:t>《新论》中“治其地”“行圣人之德”方“治天下”的上古德行</w:t>
      </w:r>
      <w:r>
        <w:rPr>
          <w:rFonts w:hint="eastAsia"/>
        </w:rPr>
        <w:t>之进一步阐发与应用。</w:t>
      </w:r>
      <w:r w:rsidR="006D78D8">
        <w:rPr>
          <w:rFonts w:hint="eastAsia"/>
        </w:rPr>
        <w:t>苏辙几篇</w:t>
      </w:r>
      <w:r w:rsidR="006D78D8" w:rsidRPr="006D78D8">
        <w:t>史论的核心是以古鉴今</w:t>
      </w:r>
      <w:r w:rsidR="006D78D8">
        <w:rPr>
          <w:rFonts w:hint="eastAsia"/>
        </w:rPr>
        <w:t>，而《民政策七》更是直接应用周的成法。</w:t>
      </w:r>
      <w:r>
        <w:rPr>
          <w:rFonts w:hint="eastAsia"/>
        </w:rPr>
        <w:t>二是不仅</w:t>
      </w:r>
      <w:proofErr w:type="gramStart"/>
      <w:r>
        <w:rPr>
          <w:rFonts w:hint="eastAsia"/>
        </w:rPr>
        <w:t>进卷本身</w:t>
      </w:r>
      <w:proofErr w:type="gramEnd"/>
      <w:r>
        <w:rPr>
          <w:rFonts w:hint="eastAsia"/>
        </w:rPr>
        <w:t>自成整体，</w:t>
      </w:r>
      <w:proofErr w:type="gramStart"/>
      <w:r>
        <w:rPr>
          <w:rFonts w:hint="eastAsia"/>
        </w:rPr>
        <w:t>进卷之间</w:t>
      </w:r>
      <w:proofErr w:type="gramEnd"/>
      <w:r>
        <w:rPr>
          <w:rFonts w:hint="eastAsia"/>
        </w:rPr>
        <w:t>也有相互配合的情形。苏轼苏辙兄弟二人</w:t>
      </w:r>
      <w:proofErr w:type="gramStart"/>
      <w:r>
        <w:rPr>
          <w:rFonts w:hint="eastAsia"/>
        </w:rPr>
        <w:t>的进卷便是</w:t>
      </w:r>
      <w:proofErr w:type="gramEnd"/>
      <w:r>
        <w:rPr>
          <w:rFonts w:hint="eastAsia"/>
        </w:rPr>
        <w:t>如此。朱刚老师在他的文章《北宋贤良进卷考》中就写道</w:t>
      </w:r>
      <w:proofErr w:type="gramStart"/>
      <w:r>
        <w:rPr>
          <w:rFonts w:hint="eastAsia"/>
        </w:rPr>
        <w:t>“</w:t>
      </w:r>
      <w:proofErr w:type="gramEnd"/>
      <w:r w:rsidRPr="000676D9">
        <w:t>苏辙写了历代论，苏轼便改变方式，写作历代人物论，以避免论题雷同。苏轼的二十五策中，谈论吏治、民生、军事的较多，谈论财经问题的特少，仅有的“厚货财”两篇，其实一篇可归入吏治，一篇可归入军事，探索经济规律或提供理财建议的较少。</w:t>
      </w:r>
      <w:r w:rsidR="004924A4">
        <w:rPr>
          <w:rFonts w:hint="eastAsia"/>
        </w:rPr>
        <w:t>”而财经方面的论述“更多见于苏辙的二十五策”，其中就包含这篇描述了几乎和王安石新法中“青苗法”几乎一样的官方放贷“贷民急”的《民政策七》。“</w:t>
      </w:r>
      <w:r w:rsidR="004924A4" w:rsidRPr="004924A4">
        <w:t>二</w:t>
      </w:r>
      <w:r w:rsidR="004924A4">
        <w:rPr>
          <w:rFonts w:hint="eastAsia"/>
        </w:rPr>
        <w:t>苏</w:t>
      </w:r>
      <w:r w:rsidR="004924A4" w:rsidRPr="004924A4">
        <w:t>的</w:t>
      </w:r>
      <w:r w:rsidR="004924A4">
        <w:rPr>
          <w:rFonts w:hint="eastAsia"/>
        </w:rPr>
        <w:t>进卷</w:t>
      </w:r>
      <w:r w:rsidR="004924A4" w:rsidRPr="004924A4">
        <w:t>不但自具</w:t>
      </w:r>
      <w:r w:rsidR="004924A4">
        <w:rPr>
          <w:rFonts w:hint="eastAsia"/>
        </w:rPr>
        <w:t>结构，</w:t>
      </w:r>
      <w:r w:rsidR="004924A4" w:rsidRPr="004924A4">
        <w:t>合起</w:t>
      </w:r>
      <w:r w:rsidR="004924A4">
        <w:rPr>
          <w:rFonts w:hint="eastAsia"/>
        </w:rPr>
        <w:t>来</w:t>
      </w:r>
      <w:r w:rsidR="004924A4" w:rsidRPr="004924A4">
        <w:t>更呈现完整</w:t>
      </w:r>
      <w:r w:rsidR="004924A4">
        <w:rPr>
          <w:rFonts w:hint="eastAsia"/>
        </w:rPr>
        <w:t>的体</w:t>
      </w:r>
      <w:r w:rsidR="004924A4" w:rsidRPr="004924A4">
        <w:t xml:space="preserve">系 </w:t>
      </w:r>
      <w:r w:rsidR="004924A4">
        <w:rPr>
          <w:rFonts w:hint="eastAsia"/>
        </w:rPr>
        <w:t>。”最后</w:t>
      </w:r>
      <w:proofErr w:type="gramStart"/>
      <w:r w:rsidR="004924A4">
        <w:rPr>
          <w:rFonts w:hint="eastAsia"/>
        </w:rPr>
        <w:t>就是进卷和</w:t>
      </w:r>
      <w:proofErr w:type="gramEnd"/>
      <w:r w:rsidR="004924A4">
        <w:rPr>
          <w:rFonts w:hint="eastAsia"/>
        </w:rPr>
        <w:t>其时代是交流对话的，是与时局互动的</w:t>
      </w:r>
      <w:r w:rsidR="00EA5376">
        <w:rPr>
          <w:rFonts w:hint="eastAsia"/>
        </w:rPr>
        <w:t>，这点在《民政策七》和苏</w:t>
      </w:r>
      <w:proofErr w:type="gramStart"/>
      <w:r w:rsidR="00EA5376">
        <w:rPr>
          <w:rFonts w:hint="eastAsia"/>
        </w:rPr>
        <w:t>辙之后</w:t>
      </w:r>
      <w:proofErr w:type="gramEnd"/>
      <w:r w:rsidR="00EA5376">
        <w:rPr>
          <w:rFonts w:hint="eastAsia"/>
        </w:rPr>
        <w:t>的分配中也时可见的。苏辙所言</w:t>
      </w:r>
      <w:r w:rsidR="00EA5376" w:rsidRPr="00EA5376">
        <w:t>“春贷以</w:t>
      </w:r>
      <w:proofErr w:type="gramStart"/>
      <w:r w:rsidR="00EA5376" w:rsidRPr="00EA5376">
        <w:t>敛</w:t>
      </w:r>
      <w:proofErr w:type="gramEnd"/>
      <w:r w:rsidR="00EA5376" w:rsidRPr="00EA5376">
        <w:t>繒帛，夏贷以收秋实”</w:t>
      </w:r>
      <w:r w:rsidR="00EA5376">
        <w:rPr>
          <w:rFonts w:hint="eastAsia"/>
        </w:rPr>
        <w:t>的《周礼》成法与王安石的“青苗法</w:t>
      </w:r>
      <w:r w:rsidR="00EA5376">
        <w:t>”</w:t>
      </w:r>
      <w:r w:rsidR="00EA5376">
        <w:rPr>
          <w:rFonts w:hint="eastAsia"/>
        </w:rPr>
        <w:t>出奇一致，也许正因此神宗</w:t>
      </w:r>
      <w:r w:rsidR="00EA5376" w:rsidRPr="00EA5376">
        <w:t>派</w:t>
      </w:r>
      <w:proofErr w:type="gramStart"/>
      <w:r w:rsidR="00EA5376" w:rsidRPr="00EA5376">
        <w:t>苏辙去王安石</w:t>
      </w:r>
      <w:proofErr w:type="gramEnd"/>
      <w:r w:rsidR="00EA5376" w:rsidRPr="00EA5376">
        <w:t>领导下的“制置三司条例司”</w:t>
      </w:r>
      <w:r w:rsidR="00EA5376">
        <w:rPr>
          <w:rFonts w:hint="eastAsia"/>
        </w:rPr>
        <w:t>，可惜一篇《</w:t>
      </w:r>
      <w:r w:rsidR="00EA5376" w:rsidRPr="00EA5376">
        <w:t>制置三司条例司论事状</w:t>
      </w:r>
      <w:r w:rsidR="00EA5376" w:rsidRPr="00EA5376">
        <w:rPr>
          <w:rFonts w:hint="eastAsia"/>
        </w:rPr>
        <w:t>》</w:t>
      </w:r>
      <w:r w:rsidR="00EA5376">
        <w:rPr>
          <w:rFonts w:hint="eastAsia"/>
        </w:rPr>
        <w:t>称之“未闻有益”</w:t>
      </w:r>
      <w:r w:rsidR="00EA5376" w:rsidRPr="00EA5376">
        <w:rPr>
          <w:rFonts w:hint="eastAsia"/>
        </w:rPr>
        <w:t>又是后话了。</w:t>
      </w:r>
    </w:p>
    <w:p w14:paraId="7D67A9AE" w14:textId="77777777" w:rsidR="006D78D8" w:rsidRDefault="006D78D8" w:rsidP="006D78D8">
      <w:pPr>
        <w:ind w:firstLine="420"/>
      </w:pPr>
    </w:p>
    <w:p w14:paraId="4123AB98" w14:textId="54C9F5B4" w:rsidR="006D78D8" w:rsidRPr="00871596" w:rsidRDefault="006D78D8" w:rsidP="00871596">
      <w:pPr>
        <w:spacing w:line="240" w:lineRule="auto"/>
        <w:ind w:firstLine="420"/>
        <w:rPr>
          <w:rFonts w:hint="eastAsia"/>
        </w:rPr>
      </w:pPr>
      <w:r w:rsidRPr="00871596">
        <w:rPr>
          <w:rFonts w:hint="eastAsia"/>
        </w:rPr>
        <w:t>参考文献</w:t>
      </w:r>
    </w:p>
    <w:p w14:paraId="57E7E7AC" w14:textId="738008CA" w:rsidR="006D78D8" w:rsidRPr="00871596" w:rsidRDefault="006D78D8" w:rsidP="00871596">
      <w:pPr>
        <w:spacing w:line="240" w:lineRule="auto"/>
        <w:ind w:firstLine="420"/>
      </w:pPr>
      <w:r w:rsidRPr="00871596">
        <w:rPr>
          <w:rFonts w:hint="eastAsia"/>
        </w:rPr>
        <w:t>[1]</w:t>
      </w:r>
      <w:r w:rsidRPr="00871596">
        <w:t>苏辙. 栾城集[M]. 上海: 上海古籍出版社, 1987.</w:t>
      </w:r>
    </w:p>
    <w:p w14:paraId="11DE3862" w14:textId="3DDFAEE0" w:rsidR="006D78D8" w:rsidRPr="00871596" w:rsidRDefault="006D78D8" w:rsidP="00871596">
      <w:pPr>
        <w:spacing w:line="240" w:lineRule="auto"/>
        <w:ind w:firstLine="420"/>
      </w:pPr>
      <w:r w:rsidRPr="00871596">
        <w:rPr>
          <w:rFonts w:hint="eastAsia"/>
        </w:rPr>
        <w:t>[2]</w:t>
      </w:r>
      <w:r w:rsidR="00871596" w:rsidRPr="00871596">
        <w:rPr>
          <w:rFonts w:ascii="Helvetica" w:hAnsi="Helvetica"/>
          <w:color w:val="060607"/>
          <w:spacing w:val="4"/>
          <w:sz w:val="21"/>
          <w:szCs w:val="21"/>
          <w:shd w:val="clear" w:color="auto" w:fill="FFFFFF"/>
        </w:rPr>
        <w:t xml:space="preserve"> </w:t>
      </w:r>
      <w:r w:rsidR="00871596" w:rsidRPr="00871596">
        <w:rPr>
          <w:rFonts w:ascii="Helvetica" w:hAnsi="Helvetica" w:hint="eastAsia"/>
          <w:color w:val="060607"/>
          <w:spacing w:val="4"/>
          <w:sz w:val="21"/>
          <w:szCs w:val="21"/>
          <w:shd w:val="clear" w:color="auto" w:fill="FFFFFF"/>
        </w:rPr>
        <w:t>]</w:t>
      </w:r>
      <w:r w:rsidR="00871596" w:rsidRPr="00871596">
        <w:t xml:space="preserve">朱刚. </w:t>
      </w:r>
      <w:r w:rsidR="00871596" w:rsidRPr="00871596">
        <w:rPr>
          <w:rFonts w:hint="eastAsia"/>
        </w:rPr>
        <w:t>北宋</w:t>
      </w:r>
      <w:proofErr w:type="gramStart"/>
      <w:r w:rsidR="00871596" w:rsidRPr="00871596">
        <w:rPr>
          <w:rFonts w:hint="eastAsia"/>
        </w:rPr>
        <w:t>贤良进卷考</w:t>
      </w:r>
      <w:proofErr w:type="gramEnd"/>
      <w:r w:rsidR="00871596" w:rsidRPr="00871596">
        <w:rPr>
          <w:rFonts w:hint="eastAsia"/>
        </w:rPr>
        <w:t>论</w:t>
      </w:r>
      <w:r w:rsidR="00871596" w:rsidRPr="00871596">
        <w:t>[J]. 中华文史论丛, 2009(01).</w:t>
      </w:r>
    </w:p>
    <w:p w14:paraId="45A4646D" w14:textId="7C72E4F2" w:rsidR="00871596" w:rsidRPr="00871596" w:rsidRDefault="00871596" w:rsidP="00871596">
      <w:pPr>
        <w:spacing w:line="240" w:lineRule="auto"/>
        <w:ind w:firstLine="420"/>
      </w:pPr>
      <w:r w:rsidRPr="00871596">
        <w:rPr>
          <w:rFonts w:hint="eastAsia"/>
        </w:rPr>
        <w:t>[3]</w:t>
      </w:r>
      <w:r w:rsidRPr="00871596">
        <w:t>朱刚. 新译苏辙文选</w:t>
      </w:r>
      <w:r w:rsidRPr="00871596">
        <w:rPr>
          <w:rFonts w:hint="eastAsia"/>
        </w:rPr>
        <w:t>[M]</w:t>
      </w:r>
      <w:r w:rsidRPr="00871596">
        <w:t>. 台北: 三民书局, 2008.</w:t>
      </w:r>
    </w:p>
    <w:p w14:paraId="32E7D7EA" w14:textId="71C5DAFD" w:rsidR="00871596" w:rsidRPr="00871596" w:rsidRDefault="00871596" w:rsidP="00871596">
      <w:pPr>
        <w:spacing w:line="240" w:lineRule="auto"/>
        <w:ind w:firstLine="420"/>
      </w:pPr>
      <w:r w:rsidRPr="00871596">
        <w:rPr>
          <w:rFonts w:hint="eastAsia"/>
        </w:rPr>
        <w:t>[</w:t>
      </w:r>
      <w:r w:rsidRPr="00871596">
        <w:rPr>
          <w:rFonts w:hint="eastAsia"/>
        </w:rPr>
        <w:t>4</w:t>
      </w:r>
      <w:r w:rsidRPr="00871596">
        <w:rPr>
          <w:rFonts w:hint="eastAsia"/>
        </w:rPr>
        <w:t>]孙亮.苏辙史学思想探析[D].河北师范大学,2021.</w:t>
      </w:r>
    </w:p>
    <w:p w14:paraId="49ABC611" w14:textId="15EA09A1" w:rsidR="00871596" w:rsidRPr="00871596" w:rsidRDefault="00871596" w:rsidP="00871596">
      <w:pPr>
        <w:spacing w:line="240" w:lineRule="auto"/>
        <w:ind w:firstLine="420"/>
      </w:pPr>
      <w:r w:rsidRPr="00871596">
        <w:rPr>
          <w:rFonts w:hint="eastAsia"/>
        </w:rPr>
        <w:t>[</w:t>
      </w:r>
      <w:r w:rsidRPr="00871596">
        <w:rPr>
          <w:rFonts w:hint="eastAsia"/>
        </w:rPr>
        <w:t>5</w:t>
      </w:r>
      <w:r w:rsidRPr="00871596">
        <w:rPr>
          <w:rFonts w:hint="eastAsia"/>
        </w:rPr>
        <w:t>]李修文.苏</w:t>
      </w:r>
      <w:proofErr w:type="gramStart"/>
      <w:r w:rsidRPr="00871596">
        <w:rPr>
          <w:rFonts w:hint="eastAsia"/>
        </w:rPr>
        <w:t>辙试策研究</w:t>
      </w:r>
      <w:proofErr w:type="gramEnd"/>
      <w:r w:rsidRPr="00871596">
        <w:rPr>
          <w:rFonts w:hint="eastAsia"/>
        </w:rPr>
        <w:t>[D].辽宁大学,2022.</w:t>
      </w:r>
    </w:p>
    <w:p w14:paraId="36C32425" w14:textId="6459291A" w:rsidR="00547126" w:rsidRPr="00871596" w:rsidRDefault="00871596" w:rsidP="00871596">
      <w:pPr>
        <w:spacing w:line="240" w:lineRule="auto"/>
        <w:ind w:firstLine="420"/>
        <w:rPr>
          <w:rFonts w:hint="eastAsia"/>
        </w:rPr>
      </w:pPr>
      <w:r w:rsidRPr="00871596">
        <w:rPr>
          <w:rFonts w:hint="eastAsia"/>
        </w:rPr>
        <w:t>[6]</w:t>
      </w:r>
      <w:r w:rsidRPr="00871596">
        <w:t>林岩．北宋科举考试与文学[M]．上海：上海古籍出版社，2006</w:t>
      </w:r>
    </w:p>
    <w:sectPr w:rsidR="00547126" w:rsidRPr="00871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汇文明朝体">
    <w:panose1 w:val="02000600000000000000"/>
    <w:charset w:val="80"/>
    <w:family w:val="auto"/>
    <w:pitch w:val="variable"/>
    <w:sig w:usb0="800002D7" w:usb1="1A4F6C50" w:usb2="00000010" w:usb3="00000000" w:csb0="0002000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6D"/>
    <w:rsid w:val="000676D9"/>
    <w:rsid w:val="001E3402"/>
    <w:rsid w:val="00251B6D"/>
    <w:rsid w:val="00425BAE"/>
    <w:rsid w:val="004924A4"/>
    <w:rsid w:val="00547126"/>
    <w:rsid w:val="005E1215"/>
    <w:rsid w:val="006D78D8"/>
    <w:rsid w:val="007965A7"/>
    <w:rsid w:val="00871596"/>
    <w:rsid w:val="008F07DE"/>
    <w:rsid w:val="009B534C"/>
    <w:rsid w:val="00AF599F"/>
    <w:rsid w:val="00C061F9"/>
    <w:rsid w:val="00D160E1"/>
    <w:rsid w:val="00EA5376"/>
    <w:rsid w:val="00F9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8157"/>
  <w15:chartTrackingRefBased/>
  <w15:docId w15:val="{2DA998D8-38CB-4EE6-BCCF-16CCD6C1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1B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1B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B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B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1B6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1B6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1B6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1B6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1B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1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1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1B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1B6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1B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1B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1B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1B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1B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1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1B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1B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1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1B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1B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1B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1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1B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1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Anthea Yang</dc:creator>
  <cp:keywords/>
  <dc:description/>
  <cp:lastModifiedBy>Anthea Yang</cp:lastModifiedBy>
  <cp:revision>2</cp:revision>
  <dcterms:created xsi:type="dcterms:W3CDTF">2024-11-28T18:34:00Z</dcterms:created>
  <dcterms:modified xsi:type="dcterms:W3CDTF">2024-11-28T21:19:00Z</dcterms:modified>
</cp:coreProperties>
</file>