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Arial" w:cs="Arial" w:eastAsia="Arial" w:hAnsi="Arial"/>
          <w:b/>
          <w:bCs/>
          <w:color w:val="1F3864"/>
          <w:sz w:val="52"/>
          <w:szCs w:val="52"/>
        </w:rPr>
        <w:t xml:space="preserve">SUPPLY MANAGEMENT SYSTEM</w:t>
      </w:r>
    </w:p>
    <w:p>
      <w:pPr>
        <w:spacing w:after="100"/>
        <w:jc w:val="center"/>
      </w:pPr>
      <w:r>
        <w:rPr>
          <w:rFonts w:ascii="Arial" w:cs="Arial" w:eastAsia="Arial" w:hAnsi="Arial"/>
          <w:color w:val="2E75B6"/>
          <w:sz w:val="36"/>
          <w:szCs w:val="36"/>
        </w:rPr>
        <w:t xml:space="preserve">FSD Addendum — Section 21</w:t>
      </w:r>
    </w:p>
    <w:p>
      <w:pPr>
        <w:spacing w:after="60"/>
        <w:jc w:val="center"/>
      </w:pPr>
      <w:r>
        <w:rPr>
          <w:rFonts w:ascii="Arial" w:cs="Arial" w:eastAsia="Arial" w:hAnsi="Arial"/>
          <w:color w:val="404040"/>
          <w:sz w:val="26"/>
          <w:szCs w:val="26"/>
        </w:rPr>
        <w:t xml:space="preserve">MIR-to-PR Line Linkage and Procurement Chain Timeline</w:t>
      </w:r>
    </w:p>
    <w:p>
      <w:pPr>
        <w:spacing w:after="60"/>
        <w:jc w:val="center"/>
      </w:pPr>
      <w:r>
        <w:rPr>
          <w:rFonts w:ascii="Arial" w:cs="Arial" w:eastAsia="Arial" w:hAnsi="Arial"/>
          <w:color w:val="666666"/>
          <w:sz w:val="17"/>
          <w:szCs w:val="17"/>
        </w:rPr>
        <w:t xml:space="preserve">PR Disbursement Tracking · Cross-Document Trace ID · DocumentTimeline JSON Store</w:t>
      </w:r>
    </w:p>
    <w:p>
      <w:pPr>
        <w:spacing w:after="60"/>
        <w:jc w:val="center"/>
      </w:pPr>
      <w:r>
        <w:rPr>
          <w:rFonts w:ascii="Arial" w:cs="Arial" w:eastAsia="Arial" w:hAnsi="Arial"/>
          <w:color w:val="666666"/>
          <w:sz w:val="20"/>
          <w:szCs w:val="20"/>
        </w:rPr>
        <w:t xml:space="preserve">Version 1.1  |  2026</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FSD Addendum — two capabilities extending Addendum 20 (MIR) and the core procurement chain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Part A</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MIR line optional linkage to an approved PR line, with disbursement quantity tracking on the PR (PR line status is NEVER changed by this feature)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Part B</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Shared trace_id (Correlation GUID) propagated across PR, Quotation, PO, GRN, Invoice, and MIR, with a DocumentTimeline event log per procurement chain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New entities</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DocumentTimelines (shared / reports_schema or dedicated trace_schema)</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Modified entities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PRLines (disbursed_qty, disbursed_mir_ids — tracking fields only, status untouched); MIRLines (pr_line_id optional FK); all 6 procurement documents (trace_id column)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Key rule</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 line status remains exactly as it was at approval time. Disbursement does not change, overwrite, or replace the PR line status under any circumstance.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3864"/>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1.1  |  2026</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1. Overview</w:t>
      </w:r>
    </w:p>
    <w:p>
      <w:pPr>
        <w:spacing w:after="100"/>
      </w:pPr>
      <w:r>
        <w:rPr>
          <w:rFonts w:ascii="Arial" w:cs="Arial" w:eastAsia="Arial" w:hAnsi="Arial"/>
          <w:color w:val="1A1A1A"/>
          <w:sz w:val="20"/>
          <w:szCs w:val="20"/>
        </w:rPr>
        <w:t xml:space="preserve">This addendum introduces two related but independently deployable capabilities that together give the SMS a complete, traceable procurement lifecycle from first request through to material disbursement on site.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Part</w:t>
            </w:r>
          </w:p>
        </w:tc>
        <w:tc>
          <w:tcPr>
            <w:tcW w:type="dxa" w:w="7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does</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Part A — MIR-to-PR Linkage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Adds an optional Purchase Requisition line reference to each MIR line. When a user adds an item to an MIR, they can fetch and select the approved PR that originally requested that item. Once the MIR is approved, the system tracks how much of the original PR quantity has been disbursed. The PR line status itself is NEVER changed — it remains in whatever status it was at approval time. Only the tracking fields (disbursed_qty, disbursed_mir_ids) are populated, and a visual badge is computed client-side from those fields for display only.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Part B — Procurement Chain Timeline</w:t>
            </w:r>
          </w:p>
        </w:tc>
        <w:tc>
          <w:tcPr>
            <w:tcW w:type="dxa" w:w="7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Introduces a shared Correlation GUID (trace_id) that flows from the originating document (PR or standalone PO/Quotation) through every downstream document in the procurement chain. A single DocumentTimelines table stores every business event for a chain as a JSON array, giving a complete at-a-glance timeline from PR raised to material disbursed, queryable by one GUID.</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2. Part A — MIR Line Linkage to Purchase Requisition</w:t>
      </w:r>
    </w:p>
    <w:p>
      <w:pPr>
        <w:pStyle w:val="Heading2"/>
        <w:spacing w:after="80" w:before="280"/>
      </w:pPr>
      <w:r>
        <w:rPr>
          <w:rFonts w:ascii="Arial" w:cs="Arial" w:eastAsia="Arial" w:hAnsi="Arial"/>
          <w:b/>
          <w:bCs/>
          <w:color w:val="2E75B6"/>
          <w:sz w:val="26"/>
          <w:szCs w:val="26"/>
        </w:rPr>
        <w:t xml:space="preserve">2.1 Business Context</w:t>
      </w:r>
    </w:p>
    <w:p>
      <w:pPr>
        <w:spacing w:after="100"/>
      </w:pPr>
      <w:r>
        <w:rPr>
          <w:rFonts w:ascii="Arial" w:cs="Arial" w:eastAsia="Arial" w:hAnsi="Arial"/>
          <w:color w:val="1A1A1A"/>
          <w:sz w:val="20"/>
          <w:szCs w:val="20"/>
        </w:rPr>
        <w:t xml:space="preserve">When a Requester raises a Material Issue Request for a Laptop, there may already be an approved Purchase Requisition (PR-2026-00045) that originally requested that same Laptop for the same project. Linking the MIR line back to that PR line creates explicit traceability from the original demand (PR) through procurement (PO/GRN) through to actual disbursement (MIR).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left"/>
            </w:pPr>
            <w:r>
              <w:rPr>
                <w:rFonts w:ascii="Arial" w:cs="Arial" w:eastAsia="Arial" w:hAnsi="Arial"/>
                <w:b/>
                <w:bCs/>
                <w:color w:val="991B1B"/>
                <w:sz w:val="18"/>
                <w:szCs w:val="18"/>
              </w:rPr>
              <w:t xml:space="preserve">Critical rule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PR line status is NEVER changed by this feature. If a PR line was APPROVED, it stays APPROVED regardless of whether material has been disbursed via MIR or not. Disbursement is tracked via separate quantity fields (disbursed_qty, disbursed_mir_ids) that exist alongside the existing status, not by modifying or replacing that status. There is no NOT_DISBURSED, PARTIALLY_DISBURSED, or FULLY_DISBURSED status column on the PR line.</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2.2 UI Behaviour on MIR Line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Field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pr_line_id — optional FK on MIRLine (FSD Addendum 20, Section 2.3). Null when the user does not link a PR.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Trigger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On the MIR line entry form, after the user selects a Product, a 'Link to Purchase Requisition' field appears with a Fetch button beside it.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Fetch behaviour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Clicking Fetch calls GET /api/purchase-requisitions/search?productId={id}&amp;status=APPROVED. The dropdown populates with PR numbers and PR line details matching: (a) the selected product, (b) PR status = APPROVED, (c) PR line disbursed_qty &lt; quantity (i.e. the line has remaining undisbursed quantity). Each dropdown option shows: PR-{number} — {pr_title} — {line_description} — Requested Qty: {n} — Remaining Undisbursed: {n}.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Selection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User selects one PR line from the results. The selection stores the pr_line_id on the MIR line and displays the PR number as a read-only reference beside the product.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Optional behaviour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If the user does not click Fetch or does not select a result, pr_line_id remains null. The MIR line is still valid and can be submitted and approved without a PR link.</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Multiple MIR lines, same PR line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Multiple MIR lines from different MIRs can reference the same PR line — the PR line tracks total disbursed_qty across all linked MIRs, not just one.</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2.3 PR Line Disbursement Tracking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Trigger</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When a linked MIR is finally approved (DocumentApprovedEvent for interface_code=MIR), the system evaluates each MIR line's linked pr_line_id. If populated, it updates the PR line's tracking fields only — disbursed_qty and disbursed_mir_ids. The PR line status field is never read, written, or modified by this process.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New field on PRLine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disbursed_qty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Decimal, default 0. Running total of approved_qty from all MIR lines referencing this PR line across all approved MIRs. Updated each time a linked MIR is approved. This is a tracking/audit field only — it does not influence the PR line status.</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disbursed_mir_ids</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JSON array, default empty array. Contains the IDs of all MIRs that have been approved against this PR line. Used for drill-down from the PR screen. This is a reference field only — it does not influence the PR line status.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2.4 Visual Badge — Computed at Display Time, Not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18"/>
                <w:szCs w:val="18"/>
              </w:rPr>
              <w:t xml:space="preserve">Design rule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There is no disbursement_status column in the database. The visual badge shown on the PR screen is computed by the React frontend at render time from the ratio of disbursed_qty to quantity. This means: no status to manage, no status to migrate, no status that could conflict with the existing PR line status. The badge is purely a visual aid for the user.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Computed condition (client-side)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Visual treatment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disbursed_qty = 0</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No badge shown at all. The PR line appears exactly as it did before this feature existed. The existing PR line status (e.g. APPROVED) is the only status visible.</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0 &lt; disbursed_qty &lt; quantity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Amber badge beside the existing status showing the progress: e.g. '60 / 100 disbursed'. The existing PR line status remains visible and unchanged next to the badge.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disbursed_qty &gt;= quantity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Green badge 'Fully Disbursed'. The row may optionally be visually de-emphasised (lighter background) to indicate no further disbursement is needed. The existing PR line status remains visible and unchanged.</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2.5 Visual Feedback on Purchase Requisition Screen</w:t>
      </w:r>
    </w:p>
    <w:p>
      <w:pPr>
        <w:pStyle w:val="ListParagraph"/>
        <w:numPr>
          <w:ilvl w:val="0"/>
          <w:numId w:val="2"/>
        </w:numPr>
        <w:spacing w:after="60"/>
      </w:pPr>
      <w:r>
        <w:rPr>
          <w:rFonts w:ascii="Arial" w:cs="Arial" w:eastAsia="Arial" w:hAnsi="Arial"/>
          <w:color w:val="1A1A1A"/>
          <w:sz w:val="20"/>
          <w:szCs w:val="20"/>
        </w:rPr>
        <w:t xml:space="preserve">On the PR detail screen, each PR line continues to show its existing line_status exactly as before (e.g. APPROVED). This addendum does not touch, hide, or replace that status.</w:t>
      </w:r>
    </w:p>
    <w:p>
      <w:pPr>
        <w:pStyle w:val="ListParagraph"/>
        <w:numPr>
          <w:ilvl w:val="0"/>
          <w:numId w:val="2"/>
        </w:numPr>
        <w:spacing w:after="60"/>
      </w:pPr>
      <w:r>
        <w:rPr>
          <w:rFonts w:ascii="Arial" w:cs="Arial" w:eastAsia="Arial" w:hAnsi="Arial"/>
          <w:color w:val="1A1A1A"/>
          <w:sz w:val="20"/>
          <w:szCs w:val="20"/>
        </w:rPr>
        <w:t xml:space="preserve">When disbursed_qty &gt; 0 for a PR line, an additional disbursement badge appears BESIDE (not replacing) the existing status badge.</w:t>
      </w:r>
    </w:p>
    <w:p>
      <w:pPr>
        <w:pStyle w:val="ListParagraph"/>
        <w:numPr>
          <w:ilvl w:val="0"/>
          <w:numId w:val="2"/>
        </w:numPr>
        <w:spacing w:after="60"/>
      </w:pPr>
      <w:r>
        <w:rPr>
          <w:rFonts w:ascii="Arial" w:cs="Arial" w:eastAsia="Arial" w:hAnsi="Arial"/>
          <w:color w:val="1A1A1A"/>
          <w:sz w:val="20"/>
          <w:szCs w:val="20"/>
        </w:rPr>
        <w:t xml:space="preserve">The badge is a clickable link that opens a panel showing all MIRs that have disbursed against this PR line, with MIR number, approved date, issued quantity, and project/department.</w:t>
      </w:r>
    </w:p>
    <w:p>
      <w:pPr>
        <w:pStyle w:val="ListParagraph"/>
        <w:numPr>
          <w:ilvl w:val="0"/>
          <w:numId w:val="2"/>
        </w:numPr>
        <w:spacing w:after="60"/>
      </w:pPr>
      <w:r>
        <w:rPr>
          <w:rFonts w:ascii="Arial" w:cs="Arial" w:eastAsia="Arial" w:hAnsi="Arial"/>
          <w:color w:val="1A1A1A"/>
          <w:sz w:val="20"/>
          <w:szCs w:val="20"/>
        </w:rPr>
        <w:t xml:space="preserve">When disbursed_qty = 0, no badge appears — the PR line looks identical to how it looked before this feature existed.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3. Part B — Procurement Chain Correlation (trace_id)</w:t>
      </w:r>
    </w:p>
    <w:p>
      <w:pPr>
        <w:pStyle w:val="Heading2"/>
        <w:spacing w:after="80" w:before="280"/>
      </w:pPr>
      <w:r>
        <w:rPr>
          <w:rFonts w:ascii="Arial" w:cs="Arial" w:eastAsia="Arial" w:hAnsi="Arial"/>
          <w:b/>
          <w:bCs/>
          <w:color w:val="2E75B6"/>
          <w:sz w:val="26"/>
          <w:szCs w:val="26"/>
        </w:rPr>
        <w:t xml:space="preserve">3.1 Design Rationale</w:t>
      </w:r>
    </w:p>
    <w:p>
      <w:pPr>
        <w:spacing w:after="100"/>
      </w:pPr>
      <w:r>
        <w:rPr>
          <w:rFonts w:ascii="Arial" w:cs="Arial" w:eastAsia="Arial" w:hAnsi="Arial"/>
          <w:color w:val="1A1A1A"/>
          <w:sz w:val="20"/>
          <w:szCs w:val="20"/>
        </w:rPr>
        <w:t xml:space="preserve">Today, the links between PR, Quotation, PO, GRN, Invoice, and MIR exist as individual FK references (pr_id on PO, po_id on GRN, etc.) but there is no single shared identifier that lets you query 'show me everything that happened as a result of PR-2026-00045' in one request. This addendum introduces a trace_id — a UUID that flows through the entire procurement chain — and a DocumentTimelines table that stores every event on that chain as an append-only JSON log.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Design principle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trace_id is not a replacement for the existing FK relationships between documents — those remain and are still the correct way to navigate the data model. The trace_id is a supplementary correlation field that enables cross-document timeline queries and the Timeline UI without joining 6 tables.</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3.2 trace_id Propagation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trace_id origin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When it is 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Requisition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Generates a new trace_id (NewGuid()) on creation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Set at PR creation. This is the root of the chain for PR-originated procurement.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Quotation — from a PR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Inherits the PR's trace_id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When Quotation.source_pr_id is set, copy PR.trace_id.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Quotation — standalone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Generates a new trace_id on creation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Quotation itself becomes the root.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Order — from a PR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Inherits the PR's trace_id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When PO.pr_id is set, copy PR.trace_id.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Order — from a Quotation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Inherits the Quotation's trace_id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Copy Quotation.trace_id.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Order — manual</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Generates a new trace_id on creation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Manual PO becomes the root.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GRN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Inherits the PO's trace_id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Copy PurchaseOrder.trace_id.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Invoice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Inherits the PO's trace_id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Copy PurchaseOrder.trace_id.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MIR (via PR linkage)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Inherits the PR's trace_id when a PR line is linked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First linked PR line wins. Warning logged if lines reference different chains.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MIR (no PR linkage)</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Generates a new trace_id on creation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MIR starts its own independent chain.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3.3 Documents Receiving the trace_id Column</w:t>
      </w:r>
    </w:p>
    <w:p>
      <w:pPr>
        <w:spacing w:after="100"/>
      </w:pPr>
      <w:r>
        <w:rPr>
          <w:rFonts w:ascii="Arial" w:cs="Arial" w:eastAsia="Arial" w:hAnsi="Arial"/>
          <w:color w:val="1A1A1A"/>
          <w:sz w:val="20"/>
          <w:szCs w:val="20"/>
        </w:rPr>
        <w:t xml:space="preserve">trace_id (UNIQUEIDENTIFIER NOT NULL) is added to: PurchaseRequisitions (demand_schema), Quotations (demand_schema), PurchaseOrders (procurement_schema), GRNs (warehouse_schema), Invoices (finance_schema), MaterialIssueRequest (material_schema). Each migration sets DEFAULT NEWSEQUENTIALID() for existing rows so historical documents get a unique value without sharing chains.</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4. DocumentTimelines Table</w:t>
      </w:r>
    </w:p>
    <w:p>
      <w:pPr>
        <w:pStyle w:val="Heading2"/>
        <w:spacing w:after="80" w:before="280"/>
      </w:pPr>
      <w:r>
        <w:rPr>
          <w:rFonts w:ascii="Arial" w:cs="Arial" w:eastAsia="Arial" w:hAnsi="Arial"/>
          <w:b/>
          <w:bCs/>
          <w:color w:val="2E75B6"/>
          <w:sz w:val="26"/>
          <w:szCs w:val="26"/>
        </w:rPr>
        <w:t xml:space="preserve">4.1 Design</w:t>
      </w:r>
    </w:p>
    <w:p>
      <w:pPr>
        <w:spacing w:after="100"/>
      </w:pPr>
      <w:r>
        <w:rPr>
          <w:rFonts w:ascii="Arial" w:cs="Arial" w:eastAsia="Arial" w:hAnsi="Arial"/>
          <w:color w:val="1A1A1A"/>
          <w:sz w:val="20"/>
          <w:szCs w:val="20"/>
        </w:rPr>
        <w:t xml:space="preserve">A single DocumentTimelines table stores every recorded event for a procurement chain, keyed by trace_id. Events are appended as a JSON array — never updated, never deleted. This is an append-only event log.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Why JSON, not rows</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Storing events as a JSON array in one row per trace_id means a single indexed lookup returns the complete chain history without joining any other table. The array is append-only — new events are added via SQL Server JSON_MODIFY append or an application-level read-merge-write within a lock scope.</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4.2 DocumentTimelines — Field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5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timeline_id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Primary key. One row per chain.</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trace_id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UNIQUEIDENTIFIER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(UQ)</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The correlation GUID shared by all documents in this chain.</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events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NVARCHAR(MAX)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Append-only JSON array of TimelineEvent objects.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chain_root_type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NVARCHAR(30)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PR / QUOTATION / PURCHASE_ORDER / MIR</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chain_root_ref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NVARCHAR(50)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Human-readable ref of the root document.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first_event_at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Set on row creation, never updated.</w:t>
            </w:r>
          </w:p>
        </w:tc>
      </w:tr>
      <w:tr>
        <w:tc>
          <w:tcPr>
            <w:tcW w:type="dxa" w:w="2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last_event_at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Updated on every append.</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created_at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DATETIME2</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Yes (auto)</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Row creation timestamp.</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4.3 TimelineEvent Object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JSON field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event_at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ISO 8601 DateTime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UTC timestamp of the event</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interface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String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Document type: Purchase Requisition / Quotation / Purchase Order / GRN / Invoice / Material Issue / Material Return / Wastage</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document_no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Human-readable document reference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Courier New" w:cs="Courier New" w:eastAsia="Courier New" w:hAnsi="Courier New"/>
                <w:color w:val="9A3412"/>
                <w:sz w:val="16"/>
                <w:szCs w:val="16"/>
              </w:rPr>
              <w:t xml:space="preserve">document_id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UUID string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System ID for deep linking</w:t>
            </w:r>
          </w:p>
        </w:tc>
      </w:tr>
      <w:tr>
        <w:tc>
          <w:tcPr>
            <w:tcW w:type="dxa" w:w="20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event_description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Plain-English description of the event</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5. Events That Trigger a Timeline Entry</w:t>
      </w:r>
    </w:p>
    <w:p>
      <w:pPr>
        <w:spacing w:after="100"/>
      </w:pPr>
      <w:r>
        <w:rPr>
          <w:rFonts w:ascii="Arial" w:cs="Arial" w:eastAsia="Arial" w:hAnsi="Arial"/>
          <w:color w:val="1A1A1A"/>
          <w:sz w:val="20"/>
          <w:szCs w:val="20"/>
        </w:rPr>
        <w:t xml:space="preserve">Every significant business action appends a TimelineEvent via ITimelineService.AppendEventAsync, called via Hangfire BackgroundJob.Enqueue after the business transaction commits. Timeline write failure NEVER causes the business action to roll back.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event_description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Requisition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Created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PR {number} created by {user}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Requisition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Submitted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PR {number} submitted for approval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Requisition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Approved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PR {number} approved by {approver}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Requisition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Rejected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PR {number} rejected — {reason}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Quotation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Created from PR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QTN {number} created from {pr_number}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Quotation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Sent to suppliers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QTN {number} sent to {n} suppliers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Quotation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Awarded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QTN {number} awarded to {supplier}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Order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Created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PO {number} created — {lines} lines, {total}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Submitted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PO {number} submitted for approval (Tier {n})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Order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Approved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PO {number} approved by {approver}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Sent to supplier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PO {number} sent to {supplier}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Purchase Order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Amended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PO {number} amended — {type}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Created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GRN {number} created against {po_number}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GRN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Approved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GRN {number} approved — {qty_accepted} accepted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GRN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Rejected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GRN {number} rejected — {reason}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Invoice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Received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INV {number} received — {amount} — match: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Approved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INV {number} approved for payment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Invoice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Paid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INV {number} paid — ref {bank_ref}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Material Issue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Created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MIR {number} created — {request_type}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Material Issue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Approved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MIR {number} approved — {n} items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Material Issue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Issued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MIV {number} issued — {item} x {qty}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F3864"/>
                <w:sz w:val="18"/>
                <w:szCs w:val="18"/>
              </w:rPr>
              <w:t xml:space="preserve">Material Return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404040"/>
                <w:sz w:val="18"/>
                <w:szCs w:val="18"/>
              </w:rPr>
              <w:t xml:space="preserve">Received</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MRV {number} — {qty} units returned</w:t>
            </w:r>
          </w:p>
        </w:tc>
      </w:tr>
    </w:tbl>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6. Timeline Service Implementation</w:t>
      </w:r>
    </w:p>
    <w:p>
      <w:pPr>
        <w:pStyle w:val="Heading2"/>
        <w:spacing w:after="80" w:before="280"/>
      </w:pPr>
      <w:r>
        <w:rPr>
          <w:rFonts w:ascii="Arial" w:cs="Arial" w:eastAsia="Arial" w:hAnsi="Arial"/>
          <w:b/>
          <w:bCs/>
          <w:color w:val="2E75B6"/>
          <w:sz w:val="26"/>
          <w:szCs w:val="26"/>
        </w:rPr>
        <w:t xml:space="preserve">6.1 ITimelineService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8F8F8" w:val="clear"/>
            <w:tcMar>
              <w:top w:type="dxa" w:w="120"/>
              <w:left w:type="dxa" w:w="200"/>
              <w:bottom w:type="dxa" w:w="120"/>
              <w:right w:type="dxa" w:w="200"/>
            </w:tcMar>
          </w:tcPr>
          <w:p>
            <w:pPr>
              <w:spacing w:after="0"/>
            </w:pPr>
            <w:r>
              <w:rPr>
                <w:rFonts w:ascii="Courier New" w:cs="Courier New" w:eastAsia="Courier New" w:hAnsi="Courier New"/>
                <w:color w:val="1E293B"/>
                <w:sz w:val="15"/>
                <w:szCs w:val="15"/>
              </w:rPr>
              <w:t xml:space="preserve">public interface ITimelineService</w:t>
            </w:r>
          </w:p>
          <w:p>
            <w:pPr>
              <w:spacing w:after="0"/>
            </w:pPr>
            <w:r>
              <w:rPr>
                <w:rFonts w:ascii="Courier New" w:cs="Courier New" w:eastAsia="Courier New" w:hAnsi="Courier New"/>
                <w:color w:val="1E293B"/>
                <w:sz w:val="15"/>
                <w:szCs w:val="15"/>
              </w:rPr>
              <w:t xml:space="preserve">{</w:t>
            </w:r>
          </w:p>
          <w:p>
            <w:pPr>
              <w:spacing w:after="0"/>
            </w:pPr>
            <w:r>
              <w:rPr>
                <w:rFonts w:ascii="Courier New" w:cs="Courier New" w:eastAsia="Courier New" w:hAnsi="Courier New"/>
                <w:color w:val="1E293B"/>
                <w:sz w:val="15"/>
                <w:szCs w:val="15"/>
              </w:rPr>
              <w:t xml:space="preserve">    Task AppendEventAsync(Guid traceId, TimelineEvent evt);</w:t>
            </w:r>
          </w:p>
          <w:p>
            <w:pPr>
              <w:spacing w:after="0"/>
            </w:pPr>
            <w:r>
              <w:rPr>
                <w:rFonts w:ascii="Courier New" w:cs="Courier New" w:eastAsia="Courier New" w:hAnsi="Courier New"/>
                <w:color w:val="1E293B"/>
                <w:sz w:val="15"/>
                <w:szCs w:val="15"/>
              </w:rPr>
              <w:t xml:space="preserve">    Task&lt;IReadOnlyList&lt;TimelineEvent&gt;&gt; GetTimelineAsync(Guid traceId);</w:t>
            </w:r>
          </w:p>
          <w:p>
            <w:pPr>
              <w:spacing w:after="0"/>
            </w:pPr>
            <w:r>
              <w:rPr>
                <w:rFonts w:ascii="Courier New" w:cs="Courier New" w:eastAsia="Courier New" w:hAnsi="Courier New"/>
                <w:color w:val="1E293B"/>
                <w:sz w:val="15"/>
                <w:szCs w:val="15"/>
              </w:rPr>
              <w:t xml:space="preserve">    Task&lt;Guid?&gt; ResolveTraceIdAsync(string interfaceCode, Guid documentId);</w:t>
            </w:r>
          </w:p>
          <w:p>
            <w:pPr>
              <w:spacing w:after="0"/>
            </w:pPr>
            <w:r>
              <w:rPr>
                <w:rFonts w:ascii="Courier New" w:cs="Courier New" w:eastAsia="Courier New" w:hAnsi="Courier New"/>
                <w:color w:val="1E293B"/>
                <w:sz w:val="15"/>
                <w:szCs w:val="15"/>
              </w:rPr>
              <w:t xml:space="preserve">}</w:t>
            </w:r>
          </w:p>
          <w:p>
            <w:pPr>
              <w:spacing w:after="0"/>
            </w:pPr>
            <w:r>
              <w:rPr>
                <w:rFonts w:ascii="Courier New" w:cs="Courier New" w:eastAsia="Courier New" w:hAnsi="Courier New"/>
                <w:color w:val="1E293B"/>
                <w:sz w:val="15"/>
                <w:szCs w:val="15"/>
              </w:rPr>
              <w:t xml:space="preserve"/>
            </w:r>
          </w:p>
          <w:p>
            <w:pPr>
              <w:spacing w:after="0"/>
            </w:pPr>
            <w:r>
              <w:rPr>
                <w:rFonts w:ascii="Courier New" w:cs="Courier New" w:eastAsia="Courier New" w:hAnsi="Courier New"/>
                <w:color w:val="1E293B"/>
                <w:sz w:val="15"/>
                <w:szCs w:val="15"/>
              </w:rPr>
              <w:t xml:space="preserve">public record TimelineEvent(</w:t>
            </w:r>
          </w:p>
          <w:p>
            <w:pPr>
              <w:spacing w:after="0"/>
            </w:pPr>
            <w:r>
              <w:rPr>
                <w:rFonts w:ascii="Courier New" w:cs="Courier New" w:eastAsia="Courier New" w:hAnsi="Courier New"/>
                <w:color w:val="1E293B"/>
                <w:sz w:val="15"/>
                <w:szCs w:val="15"/>
              </w:rPr>
              <w:t xml:space="preserve">    DateTime EventAt, string Interface, string DocumentNo,</w:t>
            </w:r>
          </w:p>
          <w:p>
            <w:pPr>
              <w:spacing w:after="0"/>
            </w:pPr>
            <w:r>
              <w:rPr>
                <w:rFonts w:ascii="Courier New" w:cs="Courier New" w:eastAsia="Courier New" w:hAnsi="Courier New"/>
                <w:color w:val="1E293B"/>
                <w:sz w:val="15"/>
                <w:szCs w:val="15"/>
              </w:rPr>
              <w:t xml:space="preserve">    Guid DocumentId, string EventDescription);</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6.2 Append Strategy</w:t>
      </w:r>
    </w:p>
    <w:p>
      <w:pPr>
        <w:pStyle w:val="ListParagraph"/>
        <w:numPr>
          <w:ilvl w:val="0"/>
          <w:numId w:val="2"/>
        </w:numPr>
        <w:spacing w:after="60"/>
      </w:pPr>
      <w:r>
        <w:rPr>
          <w:rFonts w:ascii="Arial" w:cs="Arial" w:eastAsia="Arial" w:hAnsi="Arial"/>
          <w:color w:val="1A1A1A"/>
          <w:sz w:val="20"/>
          <w:szCs w:val="20"/>
        </w:rPr>
        <w:t xml:space="preserve">Read current events JSON with row-level UPDLOCK hint.</w:t>
      </w:r>
    </w:p>
    <w:p>
      <w:pPr>
        <w:pStyle w:val="ListParagraph"/>
        <w:numPr>
          <w:ilvl w:val="0"/>
          <w:numId w:val="2"/>
        </w:numPr>
        <w:spacing w:after="60"/>
      </w:pPr>
      <w:r>
        <w:rPr>
          <w:rFonts w:ascii="Arial" w:cs="Arial" w:eastAsia="Arial" w:hAnsi="Arial"/>
          <w:color w:val="1A1A1A"/>
          <w:sz w:val="20"/>
          <w:szCs w:val="20"/>
        </w:rPr>
        <w:t xml:space="preserve">Deserialize, append the new TimelineEvent, re-serialize, write back.</w:t>
      </w:r>
    </w:p>
    <w:p>
      <w:pPr>
        <w:pStyle w:val="ListParagraph"/>
        <w:numPr>
          <w:ilvl w:val="0"/>
          <w:numId w:val="2"/>
        </w:numPr>
        <w:spacing w:after="60"/>
      </w:pPr>
      <w:r>
        <w:rPr>
          <w:rFonts w:ascii="Arial" w:cs="Arial" w:eastAsia="Arial" w:hAnsi="Arial"/>
          <w:color w:val="1A1A1A"/>
          <w:sz w:val="20"/>
          <w:szCs w:val="20"/>
        </w:rPr>
        <w:t xml:space="preserve">If row does not exist (first event), insert with single-element array.</w:t>
      </w:r>
    </w:p>
    <w:p>
      <w:pPr>
        <w:pStyle w:val="ListParagraph"/>
        <w:numPr>
          <w:ilvl w:val="0"/>
          <w:numId w:val="2"/>
        </w:numPr>
        <w:spacing w:after="60"/>
      </w:pPr>
      <w:r>
        <w:rPr>
          <w:rFonts w:ascii="Arial" w:cs="Arial" w:eastAsia="Arial" w:hAnsi="Arial"/>
          <w:color w:val="1A1A1A"/>
          <w:sz w:val="20"/>
          <w:szCs w:val="20"/>
        </w:rPr>
        <w:t xml:space="preserve">Entire read-modify-write within a serializable transaction to prevent lost updates.</w:t>
      </w:r>
    </w:p>
    <w:p>
      <w:pPr>
        <w:pStyle w:val="ListParagraph"/>
        <w:numPr>
          <w:ilvl w:val="0"/>
          <w:numId w:val="2"/>
        </w:numPr>
        <w:spacing w:after="60"/>
      </w:pPr>
      <w:r>
        <w:rPr>
          <w:rFonts w:ascii="Arial" w:cs="Arial" w:eastAsia="Arial" w:hAnsi="Arial"/>
          <w:color w:val="1A1A1A"/>
          <w:sz w:val="20"/>
          <w:szCs w:val="20"/>
        </w:rPr>
        <w:t xml:space="preserve">Called from Hangfire background job, so concurrent appends are naturally rate-limited.</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7. Timeline UI and API</w:t>
      </w:r>
    </w:p>
    <w:p>
      <w:pPr>
        <w:pStyle w:val="Heading2"/>
        <w:spacing w:after="80" w:before="280"/>
      </w:pPr>
      <w:r>
        <w:rPr>
          <w:rFonts w:ascii="Arial" w:cs="Arial" w:eastAsia="Arial" w:hAnsi="Arial"/>
          <w:b/>
          <w:bCs/>
          <w:color w:val="2E75B6"/>
          <w:sz w:val="26"/>
          <w:szCs w:val="26"/>
        </w:rPr>
        <w:t xml:space="preserve">7.1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516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/api/timeline/{traceId}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Full DocumentTimelines row with ordered events array.</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/api/timeline/by-document?interface={code}&amp;documentId={id}</w:t>
            </w:r>
          </w:p>
        </w:tc>
        <w:tc>
          <w:tcPr>
            <w:tcW w:type="dxa" w:w="5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Resolves trace_id via ResolveTraceIdAsync, then returns the full timeline.</w:t>
            </w:r>
          </w:p>
        </w:tc>
      </w:tr>
      <w:tr>
        <w:tc>
          <w:tcPr>
            <w:tcW w:type="dxa" w:w="8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b/>
                <w:bCs/>
                <w:color w:val="065F46"/>
                <w:sz w:val="18"/>
                <w:szCs w:val="18"/>
              </w:rPr>
              <w:t xml:space="preserve">GET</w:t>
            </w:r>
          </w:p>
        </w:tc>
        <w:tc>
          <w:tcPr>
            <w:tcW w:type="dxa" w:w="34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Courier New" w:cs="Courier New" w:eastAsia="Courier New" w:hAnsi="Courier New"/>
                <w:color w:val="9A3412"/>
                <w:sz w:val="16"/>
                <w:szCs w:val="16"/>
              </w:rPr>
              <w:t xml:space="preserve">/api/purchase-requisitions/search?productId={id}&amp;status=APPROVED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18"/>
                <w:szCs w:val="18"/>
              </w:rPr>
              <w:t xml:space="preserve">Approved PR lines matching the product with disbursed_qty &lt; quantity. Used by MIR Fetch button (Part A).</w:t>
            </w:r>
          </w:p>
        </w:tc>
      </w:tr>
    </w:tbl>
    <w:p>
      <w:pPr>
        <w:spacing w:after="0" w:before="120"/>
      </w:pPr>
      <w:r>
        <w:t xml:space="preserve"/>
      </w:r>
    </w:p>
    <w:p>
      <w:pPr>
        <w:pStyle w:val="Heading2"/>
        <w:spacing w:after="80" w:before="280"/>
      </w:pPr>
      <w:r>
        <w:rPr>
          <w:rFonts w:ascii="Arial" w:cs="Arial" w:eastAsia="Arial" w:hAnsi="Arial"/>
          <w:b/>
          <w:bCs/>
          <w:color w:val="2E75B6"/>
          <w:sz w:val="26"/>
          <w:szCs w:val="26"/>
        </w:rPr>
        <w:t xml:space="preserve">7.2 Timeline UI Panel</w:t>
      </w:r>
    </w:p>
    <w:p>
      <w:pPr>
        <w:pStyle w:val="ListParagraph"/>
        <w:numPr>
          <w:ilvl w:val="0"/>
          <w:numId w:val="2"/>
        </w:numPr>
        <w:spacing w:after="60"/>
      </w:pPr>
      <w:r>
        <w:rPr>
          <w:rFonts w:ascii="Arial" w:cs="Arial" w:eastAsia="Arial" w:hAnsi="Arial"/>
          <w:color w:val="1A1A1A"/>
          <w:sz w:val="20"/>
          <w:szCs w:val="20"/>
        </w:rPr>
        <w:t xml:space="preserve">A 'View Timeline' button is added to PR, Quotation, PO, GRN, Invoice, and MIR detail screens.</w:t>
      </w:r>
    </w:p>
    <w:p>
      <w:pPr>
        <w:pStyle w:val="ListParagraph"/>
        <w:numPr>
          <w:ilvl w:val="0"/>
          <w:numId w:val="2"/>
        </w:numPr>
        <w:spacing w:after="60"/>
      </w:pPr>
      <w:r>
        <w:rPr>
          <w:rFonts w:ascii="Arial" w:cs="Arial" w:eastAsia="Arial" w:hAnsi="Arial"/>
          <w:color w:val="1A1A1A"/>
          <w:sz w:val="20"/>
          <w:szCs w:val="20"/>
        </w:rPr>
        <w:t xml:space="preserve">Clicking opens a slide-over panel showing a vertical chronological timeline of all events on that chain.</w:t>
      </w:r>
    </w:p>
    <w:p>
      <w:pPr>
        <w:pStyle w:val="ListParagraph"/>
        <w:numPr>
          <w:ilvl w:val="0"/>
          <w:numId w:val="2"/>
        </w:numPr>
        <w:spacing w:after="60"/>
      </w:pPr>
      <w:r>
        <w:rPr>
          <w:rFonts w:ascii="Arial" w:cs="Arial" w:eastAsia="Arial" w:hAnsi="Arial"/>
          <w:color w:val="1A1A1A"/>
          <w:sz w:val="20"/>
          <w:szCs w:val="20"/>
        </w:rPr>
        <w:t xml:space="preserve">Each event: coloured dot by interface type (PR=blue, Quotation=teal, PO=navy, GRN=green, Invoice=amber, MIR=purple), document number as a deep link, event description, timestamp.</w:t>
      </w:r>
    </w:p>
    <w:p>
      <w:pPr>
        <w:pStyle w:val="ListParagraph"/>
        <w:numPr>
          <w:ilvl w:val="0"/>
          <w:numId w:val="2"/>
        </w:numPr>
        <w:spacing w:after="60"/>
      </w:pPr>
      <w:r>
        <w:rPr>
          <w:rFonts w:ascii="Arial" w:cs="Arial" w:eastAsia="Arial" w:hAnsi="Arial"/>
          <w:color w:val="1A1A1A"/>
          <w:sz w:val="20"/>
          <w:szCs w:val="20"/>
        </w:rPr>
        <w:t xml:space="preserve">Filter by interface type available at the top of the panel.</w:t>
      </w:r>
    </w:p>
    <w:p>
      <w:pPr>
        <w:pStyle w:val="ListParagraph"/>
        <w:numPr>
          <w:ilvl w:val="0"/>
          <w:numId w:val="2"/>
        </w:numPr>
        <w:spacing w:after="60"/>
      </w:pPr>
      <w:r>
        <w:rPr>
          <w:rFonts w:ascii="Arial" w:cs="Arial" w:eastAsia="Arial" w:hAnsi="Arial"/>
          <w:color w:val="1A1A1A"/>
          <w:sz w:val="20"/>
          <w:szCs w:val="20"/>
        </w:rPr>
        <w:t xml:space="preserve">Panel is read-only. On mobile, renders as full-screen modal.</w:t>
      </w:r>
    </w:p>
    <w:p>
      <w:r>
        <w:br w:type="page"/>
      </w:r>
    </w:p>
    <w:p>
      <w:pPr>
        <w:pStyle w:val="Heading1"/>
        <w:pBdr>
          <w:bottom w:val="single" w:color="2E75B6" w:sz="6" w:space="4"/>
        </w:pBdr>
        <w:spacing w:after="120" w:before="360"/>
      </w:pPr>
      <w:r>
        <w:rPr>
          <w:rFonts w:ascii="Arial" w:cs="Arial" w:eastAsia="Arial" w:hAnsi="Arial"/>
          <w:b/>
          <w:bCs/>
          <w:color w:val="1F3864"/>
          <w:sz w:val="32"/>
          <w:szCs w:val="32"/>
        </w:rPr>
        <w:t xml:space="preserve">8. Role-Based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60"/>
        <w:gridCol w:w="260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Screen / action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All authenticated users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View Timeline panel on any document</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 (if they can see the document)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Read-only — no actions from the timeline</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Use MIR Fetch PR button</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 (Requester and above)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Available only on MIR line form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PR Disbursement badge (view)</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Computed display, not a stored status</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Disbursement drill-down panel (linked MIRs)</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Full</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Clickable badge opens the panel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18"/>
                <w:szCs w:val="18"/>
              </w:rPr>
              <w:t xml:space="preserve">Timeline API endpoints</w:t>
            </w:r>
          </w:p>
        </w:tc>
        <w:tc>
          <w:tcPr>
            <w:tcW w:type="dxa" w:w="256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jc w:val="center"/>
            </w:pPr>
            <w:r>
              <w:rPr>
                <w:rFonts w:ascii="Arial" w:cs="Arial" w:eastAsia="Arial" w:hAnsi="Arial"/>
                <w:color w:val="065F46"/>
                <w:sz w:val="18"/>
                <w:szCs w:val="18"/>
              </w:rPr>
              <w:t xml:space="preserve">Authenticated users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666666"/>
                <w:sz w:val="18"/>
                <w:szCs w:val="18"/>
              </w:rPr>
              <w:t xml:space="preserve">No role restriction beyond authentication</w:t>
            </w:r>
          </w:p>
        </w:tc>
      </w:tr>
    </w:tbl>
    <w:p>
      <w:pPr>
        <w:spacing w:after="0" w:before="120"/>
      </w:pPr>
      <w:r>
        <w:t xml:space="preserve"/>
      </w:r>
    </w:p>
    <w:p>
      <w:pPr>
        <w:spacing w:after="100"/>
      </w:pPr>
      <w:r>
        <w:rPr>
          <w:rFonts w:ascii="Arial" w:cs="Arial" w:eastAsia="Arial" w:hAnsi="Arial"/>
          <w:color w:val="666666"/>
          <w:sz w:val="20"/>
          <w:szCs w:val="20"/>
        </w:rPr>
        <w:t xml:space="preserve">— End of Addendum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666666"/>
        <w:sz w:val="16"/>
        <w:szCs w:val="16"/>
      </w:rPr>
      <w:t xml:space="preserve">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2E75B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100"/>
    </w:pPr>
    <w:r>
      <w:rPr>
        <w:rFonts w:ascii="Arial" w:cs="Arial" w:eastAsia="Arial" w:hAnsi="Arial"/>
        <w:color w:val="666666"/>
        <w:sz w:val="16"/>
        <w:szCs w:val="16"/>
      </w:rPr>
      <w:t xml:space="preserve">SMS FSD — Addendum 21 v1.1: MIR-to-PR Linkage (status untouched) + Procurement Chain Timeline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rPr>
  </w:style>
  <w:style w:type="paragraph" w:styleId="Heading2">
    <w:name w:val="Heading 2"/>
    <w:basedOn w:val="Normal"/>
    <w:next w:val="Normal"/>
    <w:qFormat/>
    <w:pPr>
      <w:spacing w:after="80" w:before="280"/>
      <w:outlineLvl w:val="1"/>
    </w:pPr>
    <w:rPr>
      <w:rFonts w:ascii="Arial" w:cs="Arial" w:eastAsia="Arial" w:hAnsi="Arial"/>
      <w:b/>
      <w:bCs/>
      <w:color w:val="2E75B6"/>
    </w:rPr>
  </w:style>
  <w:style w:type="paragraph" w:styleId="Heading3">
    <w:name w:val="Heading 3"/>
    <w:basedOn w:val="Normal"/>
    <w:next w:val="Normal"/>
    <w:qFormat/>
    <w:pPr>
      <w:spacing w:after="60" w:before="200"/>
      <w:outlineLvl w:val="2"/>
    </w:pPr>
    <w:rPr>
      <w:rFonts w:ascii="Arial" w:cs="Arial" w:eastAsia="Arial" w:hAnsi="Arial"/>
      <w:b/>
      <w:bCs/>
      <w:color w:val="4040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2026-07-14T11:20:48.486Z</dcterms:created>
  <dcterms:modified xsi:type="dcterms:W3CDTF">2026-07-14T11:20:48.498Z</dcterms:modified>
</cp:coreProperties>
</file>

<file path=docProps/custom.xml><?xml version="1.0" encoding="utf-8"?>
<Properties xmlns="http://schemas.openxmlformats.org/officeDocument/2006/custom-properties" xmlns:vt="http://schemas.openxmlformats.org/officeDocument/2006/docPropsVTypes"/>
</file>