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3864"/>
          <w:sz w:val="52"/>
          <w:szCs w:val="52"/>
        </w:rPr>
        <w:t xml:space="preserve">SUPPLY MANAGEMENT SYSTEM</w:t>
      </w:r>
    </w:p>
    <w:p>
      <w:pPr>
        <w:spacing w:after="100"/>
        <w:jc w:val="center"/>
      </w:pPr>
      <w:r>
        <w:rPr>
          <w:rFonts w:ascii="Arial" w:cs="Arial" w:eastAsia="Arial" w:hAnsi="Arial"/>
          <w:color w:val="2E75B6"/>
          <w:sz w:val="36"/>
          <w:szCs w:val="36"/>
        </w:rPr>
        <w:t xml:space="preserve">FSD Addendum - Section 23</w:t>
      </w:r>
    </w:p>
    <w:p>
      <w:pPr>
        <w:spacing w:after="60"/>
        <w:jc w:val="center"/>
      </w:pPr>
      <w:r>
        <w:rPr>
          <w:rFonts w:ascii="Arial" w:cs="Arial" w:eastAsia="Arial" w:hAnsi="Arial"/>
          <w:color w:val="404040"/>
          <w:sz w:val="26"/>
          <w:szCs w:val="26"/>
        </w:rPr>
        <w:t xml:space="preserve">Supplier Reporting Suite and Supplier Scorecard</w:t>
      </w:r>
    </w:p>
    <w:p>
      <w:pPr>
        <w:spacing w:after="60"/>
        <w:jc w:val="center"/>
      </w:pPr>
      <w:r>
        <w:rPr>
          <w:rFonts w:ascii="Arial" w:cs="Arial" w:eastAsia="Arial" w:hAnsi="Arial"/>
          <w:color w:val="666666"/>
          <w:sz w:val="17"/>
          <w:szCs w:val="17"/>
        </w:rPr>
        <w:t xml:space="preserve">Supplier Ledger - Orders by Supplier - GRN Scoring - Supplier Scorecard Dashboard</w:t>
      </w:r>
    </w:p>
    <w:p>
      <w:pPr>
        <w:spacing w:after="60"/>
        <w:jc w:val="center"/>
      </w:pPr>
      <w:r>
        <w:rPr>
          <w:rFonts w:ascii="Arial" w:cs="Arial" w:eastAsia="Arial" w:hAnsi="Arial"/>
          <w:color w:val="666666"/>
          <w:sz w:val="20"/>
          <w:szCs w:val="20"/>
        </w:rPr>
        <w:t xml:space="preserve">Version 1.0  |  2026</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FSD Addendum - supplier-focused analytics, automated scoring, and missing reports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Relates to</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Addendum 22 (Supplier Financials), Addendum 5A (PO Lifecycle), Addendum 19 (GRN Inspection), FSD v3 Section 3 (Supplier Master)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New capability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Supplier Scorecard with configurable dimensions, weights, and letter grades derived from live GRN/PO/Invoice/Quality data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New entities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SupplierScoreSnapshots, ScorecardDimensions, ScorecardDimensionWeights (all in suppliers_schema)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New reports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new reports + 1 supplier scorecard dashboard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  |  2026</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Purpose</w:t>
      </w:r>
    </w:p>
    <w:p>
      <w:pPr>
        <w:spacing w:after="100"/>
      </w:pPr>
      <w:r>
        <w:rPr>
          <w:rFonts w:ascii="Arial" w:cs="Arial" w:eastAsia="Arial" w:hAnsi="Arial"/>
          <w:color w:val="1A1A1A"/>
          <w:sz w:val="20"/>
          <w:szCs w:val="20"/>
        </w:rPr>
        <w:t xml:space="preserve">Addendum 22 introduced supplier financial reports (payment register, aging, outstanding payables). This addendum fills the remaining reporting gaps: supplier-wise ledger drilldown, order history analysis by supplier, and most significantly a Supplier Scorecard that automatically evaluates vendor reliability, quality, and compliance from live GRN, PO, and Invoice data to reduce sourcing risks.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Why a scorecard matters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Without a data-driven supplier evaluation, procurement decisions rely on institutional memory and personal relationships. The scorecard makes supplier performance visible, comparable, and defensible: which suppliers consistently deliver on time, pass inspection, and match their quoted prices? Which ones have a pattern of short deliveries, rejected batches, or late arrivals? The answers drive better sourcing decisions and give the Procurement Manager evidence for renegotiation, disqualification, or preferred-supplier designation.</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Supplier-Wise Ledger Report</w:t>
      </w:r>
    </w:p>
    <w:p>
      <w:pPr>
        <w:spacing w:after="100"/>
      </w:pPr>
      <w:r>
        <w:rPr>
          <w:rFonts w:ascii="Arial" w:cs="Arial" w:eastAsia="Arial" w:hAnsi="Arial"/>
          <w:color w:val="1A1A1A"/>
          <w:sz w:val="20"/>
          <w:szCs w:val="20"/>
        </w:rPr>
        <w:t xml:space="preserve">Extends the Supplier Ledger Report from Addendum 22 with cross-supplier comparison and drill-down capabilities not available in the single-supplier ledger view.</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2.1 Report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Report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Supplier-Wise Ledger Summary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Endpoint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GET /api/reports/supplier-ledger-summary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Primary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One row per supplier: supplier_name, total_invoiced (sum of debits), total_paid (sum of credits), outstanding_balance, advance_balance, last_transaction_date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Drill-down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Clicking a supplier row opens the existing per-supplier ledger (Addendum 22, GET /api/suppliers/{id}/ledger) filtered to the report's date range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Filters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Date range, supplier category, supplier status (active/inactive), minimum outstanding balance threshold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Sort options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By outstanding_balance descending (default), by supplier_name, by last_transaction_date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PDF and Excel export via QuestPDF / ClosedXML, consistent with existing report export pattern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Finance Officer, Finance Manager, Procurement Manager, Admin</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Orders Report by Supplier</w:t>
      </w:r>
    </w:p>
    <w:p>
      <w:pPr>
        <w:spacing w:after="100"/>
      </w:pPr>
      <w:r>
        <w:rPr>
          <w:rFonts w:ascii="Arial" w:cs="Arial" w:eastAsia="Arial" w:hAnsi="Arial"/>
          <w:color w:val="1A1A1A"/>
          <w:sz w:val="20"/>
          <w:szCs w:val="20"/>
        </w:rPr>
        <w:t xml:space="preserve">A comprehensive view of all Purchase Orders for each supplier, enabling analysis of ordering patterns, delivery performance, and spend concentration across the supplier base.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3.1 Report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Report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Supplier Orders Report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Endpoint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GET /api/reports/supplier-orders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Primary 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One summary row per supplier: supplier_name, total_po_count, total_po_value, avg_po_value, total_grn_count, fully_received_po_count, partially_received_po_count, pending_po_count, cancelled_po_count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Detail drill-down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Clicking a supplier row expands to show every PO for that supplier: po_number, po_date, grand_total, status, qty_ordered_total, qty_received_total, grn_count, delivery_performance_days (actual vs expected)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Delivery 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Per PO: expected_delivery_date (from PO terms) vs actual_first_grn_date. Variance shown in days: negative = early, zero = on time, positive = late. Colour-coded: green (on time or early), amber (1-7 days late), red (8+ days late)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Filters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Date range (PO date), supplier, PO status, delivery performance (on-time / late / all)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Summary row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Grand total across all suppliers: total POs, total value, average delivery variance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Access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Procurement Manager, Purchase Officer, Finance Manager, Admin</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GRN-Based Supplier Scoring</w:t>
      </w:r>
    </w:p>
    <w:p>
      <w:pPr>
        <w:spacing w:after="100"/>
      </w:pPr>
      <w:r>
        <w:rPr>
          <w:rFonts w:ascii="Arial" w:cs="Arial" w:eastAsia="Arial" w:hAnsi="Arial"/>
          <w:color w:val="1A1A1A"/>
          <w:sz w:val="20"/>
          <w:szCs w:val="20"/>
        </w:rPr>
        <w:t xml:space="preserve">Every completed GRN automatically generates scoring data for the delivering supplier across multiple dimensions. Points are computed from actual transaction data, not manually entered opinions.</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4.1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Dimension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Max points</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How points are calculated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Delivery Timeliness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Compares GRN received_at against PO expected_delivery_date. On time or early = 25. 1-3 days late = 20. 4-7 days late = 15. 8-14 days late = 10. 15+ days late = 5. No expected date on PO = 20 (neutral).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Quantity Accuracy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25</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Compares GRN qty_accepted against PO qty_ordered per line. 100% match = 25. 95-99% = 20. 90-94% = 15. 80-89% = 10. Below 80% = 5. Accounts for partial GRNs by using cumulative received across all GRNs for that PO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Quality / Inspection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GRN requires_inspection = true (Addendum 19): percentage of lines passing inspection. 100% pass = 25. 90-99% = 20. 80-89% = 15. 70-79% = 10. Below 70% = 5. If requires_inspection = false: default 20 (neutral, no data to score from).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Price Compliance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15</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Compares GRN/Invoice unit prices against the original PO unit prices per line. Exact match = 15. Within 2% = 12. Within 5% = 9. Within 10% = 6. Over 10% variance =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Documentation Completeness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Checks: invoice received on time (within PO payment terms), delivery note attached to GRN (if system tracks attachments), all required certificates present. Full compliance = 10. Missing one item = 7. Missing two = 4. Missing three+ = 2.</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Total</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Maximum score per GRN = 100 points. The supplier's overall score is the weighted average across all their GRNs within the evaluation period.</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4.2 Configurable Dimension Weights</w:t>
      </w:r>
    </w:p>
    <w:p>
      <w:pPr>
        <w:spacing w:after="100"/>
      </w:pPr>
      <w:r>
        <w:rPr>
          <w:rFonts w:ascii="Arial" w:cs="Arial" w:eastAsia="Arial" w:hAnsi="Arial"/>
          <w:color w:val="1A1A1A"/>
          <w:sz w:val="20"/>
          <w:szCs w:val="20"/>
        </w:rPr>
        <w:t xml:space="preserve">The default weight for each dimension is equal (each contributes proportionally to its max points out of 100). However, an Admin can override the relative importance of each dimension to reflect the organisation's priorities.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Configuration screen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Admin &gt; System Settings &gt; Supplier Scorecard Weights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Adjustable fields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Per dimension: weight_percentage (0-100). All weights must sum to 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Default weights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Delivery Timeliness 25%, Quantity Accuracy 25%, Quality 25%, Price Compliance 15%, Documentation 10%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Effect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weighted score for each GRN = sum of (dimension_points / dimension_max * dimension_weight). Supplier's aggregate score = average of all their weighted GRN scores in the evaluation period.</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Supplier Scorecard Dashboard</w:t>
      </w:r>
    </w:p>
    <w:p>
      <w:pPr>
        <w:spacing w:after="100"/>
      </w:pPr>
      <w:r>
        <w:rPr>
          <w:rFonts w:ascii="Arial" w:cs="Arial" w:eastAsia="Arial" w:hAnsi="Arial"/>
          <w:color w:val="1A1A1A"/>
          <w:sz w:val="20"/>
          <w:szCs w:val="20"/>
        </w:rPr>
        <w:t xml:space="preserve">The scorecard aggregates the per-GRN scores (Section 4) into an overall supplier rating, displayed as a dashboard with comparative analytics across the supplier base.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5.1 Letter Grade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Grade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 range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Label</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Sourcing implication</w:t>
            </w:r>
          </w:p>
        </w:tc>
      </w:tr>
      <w:tr>
        <w:tc>
          <w:tcPr>
            <w:tcW w:type="dxa" w:w="12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A</w:t>
            </w:r>
          </w:p>
        </w:tc>
        <w:tc>
          <w:tcPr>
            <w:tcW w:type="dxa" w:w="1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90-100</w:t>
            </w:r>
          </w:p>
        </w:tc>
        <w:tc>
          <w:tcPr>
            <w:tcW w:type="dxa" w:w="2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left"/>
            </w:pPr>
            <w:r>
              <w:rPr>
                <w:rFonts w:ascii="Arial" w:cs="Arial" w:eastAsia="Arial" w:hAnsi="Arial"/>
                <w:b/>
                <w:bCs/>
                <w:color w:val="065F46"/>
                <w:sz w:val="18"/>
                <w:szCs w:val="18"/>
              </w:rPr>
              <w:t xml:space="preserve">Preferred Supplier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Eligible for sole-source POs, higher order volumes, and longer-term contracts. Minimal oversight required.</w:t>
            </w:r>
          </w:p>
        </w:tc>
      </w:tr>
      <w:tr>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b/>
                <w:bCs/>
                <w:color w:val="14532D"/>
                <w:sz w:val="18"/>
                <w:szCs w:val="18"/>
              </w:rPr>
              <w:t xml:space="preserve">B</w:t>
            </w:r>
          </w:p>
        </w:tc>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center"/>
            </w:pPr>
            <w:r>
              <w:rPr>
                <w:rFonts w:ascii="Arial" w:cs="Arial" w:eastAsia="Arial" w:hAnsi="Arial"/>
                <w:color w:val="14532D"/>
                <w:sz w:val="18"/>
                <w:szCs w:val="18"/>
              </w:rPr>
              <w:t xml:space="preserve">75-89</w:t>
            </w:r>
          </w:p>
        </w:tc>
        <w:tc>
          <w:tcPr>
            <w:tcW w:type="dxa" w:w="24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vAlign w:val="center"/>
          </w:tcPr>
          <w:p>
            <w:pPr>
              <w:jc w:val="left"/>
            </w:pPr>
            <w:r>
              <w:rPr>
                <w:rFonts w:ascii="Arial" w:cs="Arial" w:eastAsia="Arial" w:hAnsi="Arial"/>
                <w:b/>
                <w:bCs/>
                <w:color w:val="14532D"/>
                <w:sz w:val="18"/>
                <w:szCs w:val="18"/>
              </w:rPr>
              <w:t xml:space="preserve">Reliable Supplier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Standard sourcing. Competitive bidding applies. Regular performance monitored.</w:t>
            </w:r>
          </w:p>
        </w:tc>
      </w:tr>
      <w:tr>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C</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color w:val="92400E"/>
                <w:sz w:val="18"/>
                <w:szCs w:val="18"/>
              </w:rPr>
              <w:t xml:space="preserve">60-74</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18"/>
                <w:szCs w:val="18"/>
              </w:rPr>
              <w:t xml:space="preserve">Acceptable Supplier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Active but monitored. Improvement plan may be requested. Not eligible for critical-path or high-value sole-source.</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D</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40-59</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18"/>
                <w:szCs w:val="18"/>
              </w:rPr>
              <w:t xml:space="preserve">Underperforming Supplier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Formal improvement notice. Reduced order volume. Considered for replacement at next contract renewal.</w:t>
            </w:r>
          </w:p>
        </w:tc>
      </w:tr>
      <w:tr>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F</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color w:val="991B1B"/>
                <w:sz w:val="18"/>
                <w:szCs w:val="18"/>
              </w:rPr>
              <w:t xml:space="preserve">Below 40</w:t>
            </w:r>
          </w:p>
        </w:tc>
        <w:tc>
          <w:tcPr>
            <w:tcW w:type="dxa" w:w="2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18"/>
                <w:szCs w:val="18"/>
              </w:rPr>
              <w:t xml:space="preserve">Disqualification Candidate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Flagged for review and potential removal from the approved supplier list. New POs blocked pending Procurement Manager override.</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5.2 Scorecard Dashboard - UI Specification</w:t>
      </w:r>
    </w:p>
    <w:p>
      <w:pPr>
        <w:pStyle w:val="ListParagraph"/>
        <w:numPr>
          <w:ilvl w:val="0"/>
          <w:numId w:val="2"/>
        </w:numPr>
        <w:spacing w:after="60"/>
      </w:pPr>
      <w:r>
        <w:rPr>
          <w:rFonts w:ascii="Arial" w:cs="Arial" w:eastAsia="Arial" w:hAnsi="Arial"/>
          <w:color w:val="1A1A1A"/>
          <w:sz w:val="20"/>
          <w:szCs w:val="20"/>
        </w:rPr>
        <w:t xml:space="preserve">A new top-level screen: Suppliers &gt; Supplier Scorecard, accessible to Procurement Manager, Admin, and Finance Manager.</w:t>
      </w:r>
    </w:p>
    <w:p>
      <w:pPr>
        <w:pStyle w:val="ListParagraph"/>
        <w:numPr>
          <w:ilvl w:val="0"/>
          <w:numId w:val="2"/>
        </w:numPr>
        <w:spacing w:after="60"/>
      </w:pPr>
      <w:r>
        <w:rPr>
          <w:rFonts w:ascii="Arial" w:cs="Arial" w:eastAsia="Arial" w:hAnsi="Arial"/>
          <w:color w:val="1A1A1A"/>
          <w:sz w:val="20"/>
          <w:szCs w:val="20"/>
        </w:rPr>
        <w:t xml:space="preserve">Dashboard header: evaluation period selector (last 3 months / 6 months / 12 months / custom date range), dimension weight display (current configured weights from Section 4.2).</w:t>
      </w:r>
    </w:p>
    <w:p>
      <w:pPr>
        <w:pStyle w:val="ListParagraph"/>
        <w:numPr>
          <w:ilvl w:val="0"/>
          <w:numId w:val="2"/>
        </w:numPr>
        <w:spacing w:after="60"/>
      </w:pPr>
      <w:r>
        <w:rPr>
          <w:rFonts w:ascii="Arial" w:cs="Arial" w:eastAsia="Arial" w:hAnsi="Arial"/>
          <w:color w:val="1A1A1A"/>
          <w:sz w:val="20"/>
          <w:szCs w:val="20"/>
        </w:rPr>
        <w:t xml:space="preserve">Supplier ranking table: all active suppliers sorted by composite score descending. Columns: Rank, Supplier Name, Grade (letter badge with colour), Composite Score, Delivery Score, Quality Score, Quantity Score, Price Score, Documentation Score, GRN Count (number of scored GRNs in the period), Trend (arrow: improving / stable / declining compared to previous period).</w:t>
      </w:r>
    </w:p>
    <w:p>
      <w:pPr>
        <w:pStyle w:val="ListParagraph"/>
        <w:numPr>
          <w:ilvl w:val="0"/>
          <w:numId w:val="2"/>
        </w:numPr>
        <w:spacing w:after="60"/>
      </w:pPr>
      <w:r>
        <w:rPr>
          <w:rFonts w:ascii="Arial" w:cs="Arial" w:eastAsia="Arial" w:hAnsi="Arial"/>
          <w:color w:val="1A1A1A"/>
          <w:sz w:val="20"/>
          <w:szCs w:val="20"/>
        </w:rPr>
        <w:t xml:space="preserve">Clicking a supplier row opens a detail panel showing: per-dimension breakdown with a radar/spider chart, list of individual GRN scores with drill-down to GRN detail, historical score trend over last 4 evaluation periods as a line chart.</w:t>
      </w:r>
    </w:p>
    <w:p>
      <w:pPr>
        <w:pStyle w:val="ListParagraph"/>
        <w:numPr>
          <w:ilvl w:val="0"/>
          <w:numId w:val="2"/>
        </w:numPr>
        <w:spacing w:after="60"/>
      </w:pPr>
      <w:r>
        <w:rPr>
          <w:rFonts w:ascii="Arial" w:cs="Arial" w:eastAsia="Arial" w:hAnsi="Arial"/>
          <w:color w:val="1A1A1A"/>
          <w:sz w:val="20"/>
          <w:szCs w:val="20"/>
        </w:rPr>
        <w:t xml:space="preserve">Top-of-dashboard summary cards: total active suppliers scored, average score across all suppliers, count per grade (A: 5, B: 12, C: 8, D: 3, F: 1), and the highest-improved and most-declined suppliers compared to the previous period.</w:t>
      </w:r>
    </w:p>
    <w:p>
      <w:pPr>
        <w:pStyle w:val="ListParagraph"/>
        <w:numPr>
          <w:ilvl w:val="0"/>
          <w:numId w:val="2"/>
        </w:numPr>
        <w:spacing w:after="60"/>
      </w:pPr>
      <w:r>
        <w:rPr>
          <w:rFonts w:ascii="Arial" w:cs="Arial" w:eastAsia="Arial" w:hAnsi="Arial"/>
          <w:color w:val="1A1A1A"/>
          <w:sz w:val="20"/>
          <w:szCs w:val="20"/>
        </w:rPr>
        <w:t xml:space="preserve">Grade F suppliers show a visual alert banner on the Supplier Master detail screen and a warning on the PO creation screen when selected as a supplier (non-blocking warning, Procurement Manager can override).</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5.3 SupplierScoreSnapshots - Field Definitions</w:t>
      </w:r>
    </w:p>
    <w:p>
      <w:pPr>
        <w:spacing w:after="100"/>
      </w:pPr>
      <w:r>
        <w:rPr>
          <w:rFonts w:ascii="Arial" w:cs="Arial" w:eastAsia="Arial" w:hAnsi="Arial"/>
          <w:color w:val="1A1A1A"/>
          <w:sz w:val="20"/>
          <w:szCs w:val="20"/>
        </w:rPr>
        <w:t xml:space="preserve">Scores are recalculated periodically (configurable: daily, weekly, or monthly via Hangfire) and stored as snapshots to enable trend analysis and historical comparison without recalculating from raw GRN data on every view.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snapshot_id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supplier_id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to Suppliers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evaluation_period_start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Start of the evaluation window</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evaluation_period_end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End of the evaluation window</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grn_count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Number of GRNs scored in this period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delivery_score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Weighted average for this dimension (0-100 scale)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quantity_score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quality_score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price_score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documentation_score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composite_score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Overall weighted score (0-100)</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grade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 / B / C / D / F derived from composite_score</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trend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IMPROVING / STABLE / DECLINING compared to previous snapshot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calculated_at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this snapshot was computed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calculated_by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SYSTEM (Hangfire job) or MANUAL (Admin-triggered recalculation)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5.4 ScorecardDimensionWeights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weight_id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dimension_code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DELIVERY / QUANTITY / QUALITY / PRICE / DOCUMENTATION</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dimension_name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Text(100)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Display name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max_points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Integer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Maximum raw points (25/25/25/15/10 default)</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weight_percentage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Decimal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Relative weight (must sum to 100 across all dimensions)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is_active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Boolean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Default true. Deactivating a dimension excludes it from scoring (weights must be redistributed).</w:t>
            </w:r>
          </w:p>
        </w:tc>
      </w:tr>
      <w:tr>
        <w:tc>
          <w:tcPr>
            <w:tcW w:type="dxa" w:w="2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updated_by / 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FK / 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Audit trail for weight changes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Scoring Engine</w:t>
      </w:r>
    </w:p>
    <w:p>
      <w:pPr>
        <w:pStyle w:val="Heading2"/>
        <w:spacing w:after="80" w:before="280"/>
      </w:pPr>
      <w:r>
        <w:rPr>
          <w:rFonts w:ascii="Arial" w:cs="Arial" w:eastAsia="Arial" w:hAnsi="Arial"/>
          <w:b/>
          <w:bCs/>
          <w:color w:val="2E75B6"/>
          <w:sz w:val="26"/>
          <w:szCs w:val="26"/>
        </w:rPr>
        <w:t xml:space="preserve">6.1 ISupplierScoringService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0"/>
            </w:pPr>
            <w:r>
              <w:rPr>
                <w:rFonts w:ascii="Courier New" w:cs="Courier New" w:eastAsia="Courier New" w:hAnsi="Courier New"/>
                <w:color w:val="1E293B"/>
                <w:sz w:val="15"/>
                <w:szCs w:val="15"/>
              </w:rPr>
              <w:t xml:space="preserve">public interface ISupplierScoringService</w:t>
            </w:r>
          </w:p>
          <w:p>
            <w:pPr>
              <w:spacing w:after="0"/>
            </w:pPr>
            <w:r>
              <w:rPr>
                <w:rFonts w:ascii="Courier New" w:cs="Courier New" w:eastAsia="Courier New" w:hAnsi="Courier New"/>
                <w:color w:val="1E293B"/>
                <w:sz w:val="15"/>
                <w:szCs w:val="15"/>
              </w:rPr>
              <w:t xml:space="preserve">{</w:t>
            </w:r>
          </w:p>
          <w:p>
            <w:pPr>
              <w:spacing w:after="0"/>
            </w:pPr>
            <w:r>
              <w:rPr>
                <w:rFonts w:ascii="Courier New" w:cs="Courier New" w:eastAsia="Courier New" w:hAnsi="Courier New"/>
                <w:color w:val="1E293B"/>
                <w:sz w:val="15"/>
                <w:szCs w:val="15"/>
              </w:rPr>
              <w:t xml:space="preserve">    // Score a single GRN against all active dimensions</w:t>
            </w:r>
          </w:p>
          <w:p>
            <w:pPr>
              <w:spacing w:after="0"/>
            </w:pPr>
            <w:r>
              <w:rPr>
                <w:rFonts w:ascii="Courier New" w:cs="Courier New" w:eastAsia="Courier New" w:hAnsi="Courier New"/>
                <w:color w:val="1E293B"/>
                <w:sz w:val="15"/>
                <w:szCs w:val="15"/>
              </w:rPr>
              <w:t xml:space="preserve">    Task&lt;GrnScore&gt; ScoreGrnAsync(Guid grnId);</w:t>
            </w:r>
          </w:p>
          <w:p>
            <w:pPr>
              <w:spacing w:after="0"/>
            </w:pPr>
            <w:r>
              <w:rPr>
                <w:rFonts w:ascii="Courier New" w:cs="Courier New" w:eastAsia="Courier New" w:hAnsi="Courier New"/>
                <w:color w:val="1E293B"/>
                <w:sz w:val="15"/>
                <w:szCs w:val="15"/>
              </w:rPr>
              <w:t xml:space="preserve"/>
            </w:r>
          </w:p>
          <w:p>
            <w:pPr>
              <w:spacing w:after="0"/>
            </w:pPr>
            <w:r>
              <w:rPr>
                <w:rFonts w:ascii="Courier New" w:cs="Courier New" w:eastAsia="Courier New" w:hAnsi="Courier New"/>
                <w:color w:val="1E293B"/>
                <w:sz w:val="15"/>
                <w:szCs w:val="15"/>
              </w:rPr>
              <w:t xml:space="preserve">    // Recalculate aggregate scores for all suppliers for a period</w:t>
            </w:r>
          </w:p>
          <w:p>
            <w:pPr>
              <w:spacing w:after="0"/>
            </w:pPr>
            <w:r>
              <w:rPr>
                <w:rFonts w:ascii="Courier New" w:cs="Courier New" w:eastAsia="Courier New" w:hAnsi="Courier New"/>
                <w:color w:val="1E293B"/>
                <w:sz w:val="15"/>
                <w:szCs w:val="15"/>
              </w:rPr>
              <w:t xml:space="preserve">    Task RecalculateAllAsync(DateRange period);</w:t>
            </w:r>
          </w:p>
          <w:p>
            <w:pPr>
              <w:spacing w:after="0"/>
            </w:pPr>
            <w:r>
              <w:rPr>
                <w:rFonts w:ascii="Courier New" w:cs="Courier New" w:eastAsia="Courier New" w:hAnsi="Courier New"/>
                <w:color w:val="1E293B"/>
                <w:sz w:val="15"/>
                <w:szCs w:val="15"/>
              </w:rPr>
              <w:t xml:space="preserve"/>
            </w:r>
          </w:p>
          <w:p>
            <w:pPr>
              <w:spacing w:after="0"/>
            </w:pPr>
            <w:r>
              <w:rPr>
                <w:rFonts w:ascii="Courier New" w:cs="Courier New" w:eastAsia="Courier New" w:hAnsi="Courier New"/>
                <w:color w:val="1E293B"/>
                <w:sz w:val="15"/>
                <w:szCs w:val="15"/>
              </w:rPr>
              <w:t xml:space="preserve">    // Recalculate for one supplier</w:t>
            </w:r>
          </w:p>
          <w:p>
            <w:pPr>
              <w:spacing w:after="0"/>
            </w:pPr>
            <w:r>
              <w:rPr>
                <w:rFonts w:ascii="Courier New" w:cs="Courier New" w:eastAsia="Courier New" w:hAnsi="Courier New"/>
                <w:color w:val="1E293B"/>
                <w:sz w:val="15"/>
                <w:szCs w:val="15"/>
              </w:rPr>
              <w:t xml:space="preserve">    Task&lt;SupplierScoreSnapshot&gt; RecalculateSupplierAsync(</w:t>
            </w:r>
          </w:p>
          <w:p>
            <w:pPr>
              <w:spacing w:after="0"/>
            </w:pPr>
            <w:r>
              <w:rPr>
                <w:rFonts w:ascii="Courier New" w:cs="Courier New" w:eastAsia="Courier New" w:hAnsi="Courier New"/>
                <w:color w:val="1E293B"/>
                <w:sz w:val="15"/>
                <w:szCs w:val="15"/>
              </w:rPr>
              <w:t xml:space="preserve">        Guid supplierId, DateRange period);</w:t>
            </w:r>
          </w:p>
          <w:p>
            <w:pPr>
              <w:spacing w:after="0"/>
            </w:pPr>
            <w:r>
              <w:rPr>
                <w:rFonts w:ascii="Courier New" w:cs="Courier New" w:eastAsia="Courier New" w:hAnsi="Courier New"/>
                <w:color w:val="1E293B"/>
                <w:sz w:val="15"/>
                <w:szCs w:val="15"/>
              </w:rPr>
              <w:t xml:space="preserve"/>
            </w:r>
          </w:p>
          <w:p>
            <w:pPr>
              <w:spacing w:after="0"/>
            </w:pPr>
            <w:r>
              <w:rPr>
                <w:rFonts w:ascii="Courier New" w:cs="Courier New" w:eastAsia="Courier New" w:hAnsi="Courier New"/>
                <w:color w:val="1E293B"/>
                <w:sz w:val="15"/>
                <w:szCs w:val="15"/>
              </w:rPr>
              <w:t xml:space="preserve">    // Get current scorecard for display</w:t>
            </w:r>
          </w:p>
          <w:p>
            <w:pPr>
              <w:spacing w:after="0"/>
            </w:pPr>
            <w:r>
              <w:rPr>
                <w:rFonts w:ascii="Courier New" w:cs="Courier New" w:eastAsia="Courier New" w:hAnsi="Courier New"/>
                <w:color w:val="1E293B"/>
                <w:sz w:val="15"/>
                <w:szCs w:val="15"/>
              </w:rPr>
              <w:t xml:space="preserve">    Task&lt;SupplierScorecard&gt; GetScorecardAsync(</w:t>
            </w:r>
          </w:p>
          <w:p>
            <w:pPr>
              <w:spacing w:after="0"/>
            </w:pPr>
            <w:r>
              <w:rPr>
                <w:rFonts w:ascii="Courier New" w:cs="Courier New" w:eastAsia="Courier New" w:hAnsi="Courier New"/>
                <w:color w:val="1E293B"/>
                <w:sz w:val="15"/>
                <w:szCs w:val="15"/>
              </w:rPr>
              <w:t xml:space="preserve">        Guid supplierId, DateRange period);</w:t>
            </w:r>
          </w:p>
          <w:p>
            <w:pPr>
              <w:spacing w:after="0"/>
            </w:pPr>
            <w:r>
              <w:rPr>
                <w:rFonts w:ascii="Courier New" w:cs="Courier New" w:eastAsia="Courier New" w:hAnsi="Courier New"/>
                <w:color w:val="1E293B"/>
                <w:sz w:val="15"/>
                <w:szCs w:val="15"/>
              </w:rPr>
              <w:t xml:space="preserve">}</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6.2 Calculation Flow</w:t>
      </w:r>
    </w:p>
    <w:p>
      <w:pPr>
        <w:pStyle w:val="ListParagraph"/>
        <w:numPr>
          <w:ilvl w:val="0"/>
          <w:numId w:val="2"/>
        </w:numPr>
        <w:spacing w:after="60"/>
      </w:pPr>
      <w:r>
        <w:rPr>
          <w:rFonts w:ascii="Arial" w:cs="Arial" w:eastAsia="Arial" w:hAnsi="Arial"/>
          <w:color w:val="1A1A1A"/>
          <w:sz w:val="20"/>
          <w:szCs w:val="20"/>
        </w:rPr>
        <w:t xml:space="preserve">On GRN approval: Hangfire enqueues ScoreGrnAsync(grnId). This computes the per-dimension points for that single GRN using the rules from Section 4.1 and stores them as a GrnScoreDetail row (lightweight, per-GRN raw score, not the supplier aggregate).</w:t>
      </w:r>
    </w:p>
    <w:p>
      <w:pPr>
        <w:pStyle w:val="ListParagraph"/>
        <w:numPr>
          <w:ilvl w:val="0"/>
          <w:numId w:val="2"/>
        </w:numPr>
        <w:spacing w:after="60"/>
      </w:pPr>
      <w:r>
        <w:rPr>
          <w:rFonts w:ascii="Arial" w:cs="Arial" w:eastAsia="Arial" w:hAnsi="Arial"/>
          <w:color w:val="1A1A1A"/>
          <w:sz w:val="20"/>
          <w:szCs w:val="20"/>
        </w:rPr>
        <w:t xml:space="preserve">On the configurable schedule (daily/weekly/monthly): Hangfire runs RecalculateAllAsync for the current evaluation period. For each active supplier with at least one scored GRN in the period, it averages the per-GRN weighted scores into a composite, determines the grade, computes the trend vs the previous period's snapshot, and writes a SupplierScoreSnapshot row.</w:t>
      </w:r>
    </w:p>
    <w:p>
      <w:pPr>
        <w:pStyle w:val="ListParagraph"/>
        <w:numPr>
          <w:ilvl w:val="0"/>
          <w:numId w:val="2"/>
        </w:numPr>
        <w:spacing w:after="60"/>
      </w:pPr>
      <w:r>
        <w:rPr>
          <w:rFonts w:ascii="Arial" w:cs="Arial" w:eastAsia="Arial" w:hAnsi="Arial"/>
          <w:color w:val="1A1A1A"/>
          <w:sz w:val="20"/>
          <w:szCs w:val="20"/>
        </w:rPr>
        <w:t xml:space="preserve">Admin can trigger RecalculateSupplierAsync manually for a single supplier at any time (e.g. after a disputed GRN score is corrected).</w:t>
      </w:r>
    </w:p>
    <w:p>
      <w:pPr>
        <w:pStyle w:val="ListParagraph"/>
        <w:numPr>
          <w:ilvl w:val="0"/>
          <w:numId w:val="2"/>
        </w:numPr>
        <w:spacing w:after="60"/>
      </w:pPr>
      <w:r>
        <w:rPr>
          <w:rFonts w:ascii="Arial" w:cs="Arial" w:eastAsia="Arial" w:hAnsi="Arial"/>
          <w:color w:val="1A1A1A"/>
          <w:sz w:val="20"/>
          <w:szCs w:val="20"/>
        </w:rPr>
        <w:t xml:space="preserve">The Dashboard reads from SupplierScoreSnapshots for fast rendering, not from raw GRN data on every page load. The most recent snapshot for the requested period is always used.</w:t>
      </w:r>
    </w:p>
    <w:p>
      <w:pPr>
        <w:pStyle w:val="ListParagraph"/>
        <w:numPr>
          <w:ilvl w:val="0"/>
          <w:numId w:val="2"/>
        </w:numPr>
        <w:spacing w:after="60"/>
      </w:pPr>
      <w:r>
        <w:rPr>
          <w:rFonts w:ascii="Arial" w:cs="Arial" w:eastAsia="Arial" w:hAnsi="Arial"/>
          <w:color w:val="1A1A1A"/>
          <w:sz w:val="20"/>
          <w:szCs w:val="20"/>
        </w:rPr>
        <w:t xml:space="preserve">Scoring is non-blocking: if ScoreGrnAsync fails, the GRN approval is unaffected. Scoring runs via Hangfire with retry, consistent with the timeline-write pattern (Addendum 21).</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Additional Missing Reports</w:t>
      </w:r>
    </w:p>
    <w:p>
      <w:pPr>
        <w:spacing w:after="100"/>
      </w:pPr>
      <w:r>
        <w:rPr>
          <w:rFonts w:ascii="Arial" w:cs="Arial" w:eastAsia="Arial" w:hAnsi="Arial"/>
          <w:color w:val="1A1A1A"/>
          <w:sz w:val="20"/>
          <w:szCs w:val="20"/>
        </w:rPr>
        <w:t xml:space="preserve">Beyond the scorecard and the supplier-specific reports in Sections 2 and 3, the following reports were identified as gaps in the current reporting suite.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Report</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metrics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Supplier Comparison Report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Side-by-side comparison of 2-5 selected suppliers: scorecard grades, order volumes, average delivery variance, rejection rates, payment history. Useful during RFQ evaluation and contract renewal decisions.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Procurement Manager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GRN Quality Analysis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Inspection pass/fail/partial rates by supplier over time. Trend chart showing quality trajectory per supplier. Drill-down to specific failed GRN lines with rejection reasons.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Inventory Manager, Quality Team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Supplier Spend Analysis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Total spend (invoiced amount) per supplier over date range, broken down by category/sub-category. Pie chart of spend concentration. Top 10/20 suppliers by 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Finance Manager, Procurement Manager</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Delivery Performance Heatmap</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Calendar heatmap per supplier showing on-time (green), late (amber/red) GRNs over the last 12 months. Quickly identifies seasonal or recurring delivery problems.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Procurement Manager</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9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/api/reports/supplier-ledger-summary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Cross-supplier ledger summary with drill-down (Section 2)</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/api/reports/supplier-orders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Orders by supplier with delivery performance variance (Section 3)</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/api/supplier-scorecard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Scorecard dashboard: all suppliers ranked with grades, scores, trends (Section 5)</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/api/supplier-scorecard/{supplierId}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Single supplier detail: per-dimension breakdown, GRN score list, trend chart data (Section 5.2)</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/api/supplier-scorecard/summary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Dashboard summary cards: grade distribution, averages, most improved/declined</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/api/supplier-scorecard/recalculate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Admin-triggered recalculation for all suppliers for a given period</w:t>
            </w:r>
          </w:p>
        </w:tc>
      </w:tr>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POST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/api/supplier-scorecard/{supplierId}/recalculate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Admin-triggered recalculation for one supplier</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/api/admin/scorecard-weights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Current dimension weights for the configuration screen</w:t>
            </w:r>
          </w:p>
        </w:tc>
      </w:tr>
      <w:tr>
        <w:tc>
          <w:tcPr>
            <w:tcW w:type="dxa" w:w="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PUT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/api/admin/scorecard-weights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 dimension weights (must sum to 100). Admin only.</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/api/reports/supplier-comparison?ids=a,b,c</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Side-by-side supplier comparison (Section 7)</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/api/reports/grn-quality-analysis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Inspection pass/fail rates by supplier (Section 7)</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/api/reports/supplier-spend-analysis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Spend by supplier with category breakdown (Section 7)</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/api/reports/delivery-performance-heatmap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Calendar heatmap data per supplier (Section 7)</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1400"/>
        <w:gridCol w:w="17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Screen / action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Admin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Proc. Mgr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Fin. Mgr</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Others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Supplier Scorecard Dashboard</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Inv. Mgr (read)</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Supplier detail drilldown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Inv. Mgr (read)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Configure scorecard weights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Trigger manual recalculation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Supplier-Wise Ledger Report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Supplier Orders Report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Purch. Officer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Supplier Comparison Report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GRN Quality Analysis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Inv. Mgr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Supplier Spend Analysis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Delivery Performance Heatmap</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666666"/>
                <w:sz w:val="18"/>
                <w:szCs w:val="18"/>
              </w:rPr>
              <w:t xml:space="preserve">None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Grade F warning on PO creation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Visible to all PO creators. Override: Proc. Mgr only.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404040"/>
                <w:sz w:val="18"/>
                <w:szCs w:val="18"/>
              </w:rPr>
              <w:t xml:space="preserve"/>
            </w:r>
          </w:p>
        </w:tc>
      </w:tr>
    </w:tbl>
    <w:p>
      <w:pPr>
        <w:spacing w:after="0" w:before="120"/>
      </w:pPr>
      <w:r>
        <w:t xml:space="preserve"/>
      </w:r>
    </w:p>
    <w:p>
      <w:pPr>
        <w:spacing w:after="100"/>
      </w:pPr>
      <w:r>
        <w:rPr>
          <w:rFonts w:ascii="Arial" w:cs="Arial" w:eastAsia="Arial" w:hAnsi="Arial"/>
          <w:color w:val="666666"/>
          <w:sz w:val="20"/>
          <w:szCs w:val="20"/>
        </w:rPr>
        <w:t xml:space="preserve">- End of Addendum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666666"/>
        <w:sz w:val="16"/>
        <w:szCs w:val="16"/>
      </w:rPr>
      <w:t xml:space="preserve">SMS FSD - Addendum 23: Supplier Reporting Suite and Supplier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rPr>
  </w:style>
  <w:style w:type="paragraph" w:styleId="Heading2">
    <w:name w:val="Heading 2"/>
    <w:basedOn w:val="Normal"/>
    <w:next w:val="Normal"/>
    <w:qFormat/>
    <w:pPr>
      <w:spacing w:after="80" w:before="280"/>
      <w:outlineLvl w:val="1"/>
    </w:pPr>
    <w:rPr>
      <w:rFonts w:ascii="Arial" w:cs="Arial" w:eastAsia="Arial" w:hAnsi="Arial"/>
      <w:b/>
      <w:bCs/>
      <w:color w:val="2E75B6"/>
    </w:rPr>
  </w:style>
  <w:style w:type="paragraph" w:styleId="Heading3">
    <w:name w:val="Heading 3"/>
    <w:basedOn w:val="Normal"/>
    <w:next w:val="Normal"/>
    <w:qFormat/>
    <w:pPr>
      <w:spacing w:after="60" w:before="200"/>
      <w:outlineLvl w:val="2"/>
    </w:pPr>
    <w:rPr>
      <w:rFonts w:ascii="Arial" w:cs="Arial" w:eastAsia="Arial" w:hAnsi="Arial"/>
      <w:b/>
      <w:bCs/>
      <w:color w:val="4040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2026-07-19T13:58:05.056Z</dcterms:created>
  <dcterms:modified xsi:type="dcterms:W3CDTF">2026-07-19T13:58:05.069Z</dcterms:modified>
</cp:coreProperties>
</file>

<file path=docProps/custom.xml><?xml version="1.0" encoding="utf-8"?>
<Properties xmlns="http://schemas.openxmlformats.org/officeDocument/2006/custom-properties" xmlns:vt="http://schemas.openxmlformats.org/officeDocument/2006/docPropsVTypes"/>
</file>