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color w:val="1F4E79"/>
        </w:rPr>
        <w:t xml:space="preserve">Task Breakdown — User–Supplier Access &amp; Return Order Acknowledgment</w:t>
      </w:r>
    </w:p>
    <w:p>
      <w:pPr>
        <w:spacing w:after="20"/>
      </w:pPr>
      <w:r>
        <w:rPr>
          <w:b/>
          <w:bCs/>
        </w:rPr>
        <w:t xml:space="preserve">Source: </w:t>
      </w:r>
      <w:r>
        <w:t xml:space="preserve">System Addendum v1.0</w:t>
      </w:r>
    </w:p>
    <w:p>
      <w:pPr>
        <w:spacing w:after="20"/>
      </w:pPr>
      <w:r>
        <w:rPr>
          <w:b/>
          <w:bCs/>
        </w:rPr>
        <w:t xml:space="preserve">Date: </w:t>
      </w:r>
      <w:r>
        <w:t xml:space="preserve">26 August 2026</w:t>
      </w:r>
    </w:p>
    <w:p>
      <w:pPr>
        <w:spacing w:after="120"/>
      </w:pPr>
      <w:r>
        <w:t xml:space="preserve">Sizing is rough (S ≈ ½–1 day, M ≈ 1–2 days, L ≈ 3+ days) and should be re-estimated by the team. Type: DB = data/schema, BE = backend/API, FE = frontend/UI, QA = testing, SEC = security.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Epic 1 — Supplier Type on User Creation (REQ-1.x)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4460"/>
        <w:gridCol w:w="1200"/>
        <w:gridCol w:w="1400"/>
        <w:gridCol w:w="900"/>
      </w:tblGrid>
      <w:tr>
        <w:trPr>
          <w:tblHeader/>
        </w:trPr>
        <w:tc>
          <w:tcPr>
            <w:tcW w:type="dxa" w:w="70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0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46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120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Refs</w:t>
            </w:r>
          </w:p>
        </w:tc>
        <w:tc>
          <w:tcPr>
            <w:tcW w:type="dxa" w:w="140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Depends on</w:t>
            </w:r>
          </w:p>
        </w:tc>
        <w:tc>
          <w:tcPr>
            <w:tcW w:type="dxa" w:w="90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Size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T1.1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DB</w:t>
            </w:r>
          </w:p>
        </w:tc>
        <w:tc>
          <w:tcPr>
            <w:tcW w:type="dxa" w:w="4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Add supplier_type (enum: Internal/External) to the user table + migration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1.1, 1.4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–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T1.2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BE</w:t>
            </w:r>
          </w:p>
        </w:tc>
        <w:tc>
          <w:tcPr>
            <w:tcW w:type="dxa" w:w="4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Include Supplier Type in create/update user API; make it required and validate the value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1.1, 1.3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T1.1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T1.3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FE</w:t>
            </w:r>
          </w:p>
        </w:tc>
        <w:tc>
          <w:tcPr>
            <w:tcW w:type="dxa" w:w="4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Add "Supplier Type" dropdown (Internal/External) to Add/Edit User form with required-field validation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1.1, 1.2, 1.3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T1.2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T1.4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FE</w:t>
            </w:r>
          </w:p>
        </w:tc>
        <w:tc>
          <w:tcPr>
            <w:tcW w:type="dxa" w:w="4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Show Supplier Type on user view; persist and repopulate on edit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1.4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T1.3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T1.5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FE</w:t>
            </w:r>
          </w:p>
        </w:tc>
        <w:tc>
          <w:tcPr>
            <w:tcW w:type="dxa" w:w="4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Add Supplier Type column + filter to the user listing/grid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1.5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T1.2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T1.6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QA</w:t>
            </w:r>
          </w:p>
        </w:tc>
        <w:tc>
          <w:tcPr>
            <w:tcW w:type="dxa" w:w="4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Test: cannot save without type; value persists on reopen; grid filter works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1.1–1.5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T1.3–T1.5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</w:t>
            </w:r>
          </w:p>
        </w:tc>
      </w:tr>
    </w:tbl>
    <w:p/>
    <w:p>
      <w:pPr>
        <w:pStyle w:val="Heading1"/>
        <w:spacing w:after="120" w:before="240"/>
      </w:pPr>
      <w:r>
        <w:rPr>
          <w:b/>
          <w:bCs/>
          <w:color w:val="1F4E79"/>
        </w:rPr>
        <w:t xml:space="preserve">Epic 2 — User-to-Supplier Access Mapping (REQ-2.x)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4460"/>
        <w:gridCol w:w="1200"/>
        <w:gridCol w:w="1400"/>
        <w:gridCol w:w="900"/>
      </w:tblGrid>
      <w:tr>
        <w:trPr>
          <w:tblHeader/>
        </w:trPr>
        <w:tc>
          <w:tcPr>
            <w:tcW w:type="dxa" w:w="70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0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46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120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Refs</w:t>
            </w:r>
          </w:p>
        </w:tc>
        <w:tc>
          <w:tcPr>
            <w:tcW w:type="dxa" w:w="140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Depends on</w:t>
            </w:r>
          </w:p>
        </w:tc>
        <w:tc>
          <w:tcPr>
            <w:tcW w:type="dxa" w:w="90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Size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T2.1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DB</w:t>
            </w:r>
          </w:p>
        </w:tc>
        <w:tc>
          <w:tcPr>
            <w:tcW w:type="dxa" w:w="4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Create user_supplier mapping table (many-to-many) + migration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2.1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–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T2.2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BE</w:t>
            </w:r>
          </w:p>
        </w:tc>
        <w:tc>
          <w:tcPr>
            <w:tcW w:type="dxa" w:w="4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API to read/save a user's supplier mappings as part of user save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2.1, 2.4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T2.1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T2.3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BE</w:t>
            </w:r>
          </w:p>
        </w:tc>
        <w:tc>
          <w:tcPr>
            <w:tcW w:type="dxa" w:w="4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Central access filter: restrict supplier queries/lists to the current user's mapped suppliers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2.2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T2.2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T2.4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BE/SEC</w:t>
            </w:r>
          </w:p>
        </w:tc>
        <w:tc>
          <w:tcPr>
            <w:tcW w:type="dxa" w:w="4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Server-side authorization guard on all supplier-scoped endpoints — deny access to non-mapped suppliers by direct ID/URL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2.3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T2.2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T2.5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FE</w:t>
            </w:r>
          </w:p>
        </w:tc>
        <w:tc>
          <w:tcPr>
            <w:tcW w:type="dxa" w:w="4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Multi-select supplier assignment on the user screen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2.1, 2.4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T2.2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T2.6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FE</w:t>
            </w:r>
          </w:p>
        </w:tc>
        <w:tc>
          <w:tcPr>
            <w:tcW w:type="dxa" w:w="4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Apply mapping filter to every supplier list/dropdown across the app (return orders, dispatch, reports)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2.2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T2.3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T2.7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QA/SEC</w:t>
            </w:r>
          </w:p>
        </w:tc>
        <w:tc>
          <w:tcPr>
            <w:tcW w:type="dxa" w:w="4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Test: user sees only mapped suppliers; removing a mapping revokes access immediately; direct-ID access to a non-mapped supplier is denied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2.2–2.4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T2.3–T2.6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⚠ </w:t>
            </w:r>
            <w:r>
              <w:t xml:space="preserve">Blocked/affected by open questions #1 &amp; #2 (whether Supplier Type constrains which suppliers can be mapped). Confirm before T2.5.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4E79"/>
        </w:rPr>
        <w:t xml:space="preserve">Epic 3 — Return Order Dispatch &amp; Supplier Acknowledgment (REQ-3.x)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4460"/>
        <w:gridCol w:w="1200"/>
        <w:gridCol w:w="1400"/>
        <w:gridCol w:w="900"/>
      </w:tblGrid>
      <w:tr>
        <w:trPr>
          <w:tblHeader/>
        </w:trPr>
        <w:tc>
          <w:tcPr>
            <w:tcW w:type="dxa" w:w="70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0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46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120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Refs</w:t>
            </w:r>
          </w:p>
        </w:tc>
        <w:tc>
          <w:tcPr>
            <w:tcW w:type="dxa" w:w="140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Depends on</w:t>
            </w:r>
          </w:p>
        </w:tc>
        <w:tc>
          <w:tcPr>
            <w:tcW w:type="dxa" w:w="90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Size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T3.1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DB</w:t>
            </w:r>
          </w:p>
        </w:tc>
        <w:tc>
          <w:tcPr>
            <w:tcW w:type="dxa" w:w="4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Create acknowledgment-token table (token, return_order_id, supplier_id, created_at, expires_at, used_at, ack remarks/received date) + migration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3.5, 3.7–3.9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–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T3.2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BE</w:t>
            </w:r>
          </w:p>
        </w:tc>
        <w:tc>
          <w:tcPr>
            <w:tcW w:type="dxa" w:w="4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Generate a unique, non-guessable token on dispatch; set expires_at from the configured expiry (Epic 4)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3.5, 3.9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T3.1, T4.2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T3.3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BE</w:t>
            </w:r>
          </w:p>
        </w:tc>
        <w:tc>
          <w:tcPr>
            <w:tcW w:type="dxa" w:w="4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Email service: compose dispatch email (return ref, item list, courier, tracking, dispatch date/remarks) + acknowledgment link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3.1–3.3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T3.2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T3.4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FE</w:t>
            </w:r>
          </w:p>
        </w:tc>
        <w:tc>
          <w:tcPr>
            <w:tcW w:type="dxa" w:w="4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Design responsive dispatch email template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3.2, 3.3, §7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T3.3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T3.5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BE</w:t>
            </w:r>
          </w:p>
        </w:tc>
        <w:tc>
          <w:tcPr>
            <w:tcW w:type="dxa" w:w="4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Public acknowledgment endpoint (no auth): validate token, check expiry, check not-already-used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3.4, 3.5, 3.8, 3.10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T3.2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T3.6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FE</w:t>
            </w:r>
          </w:p>
        </w:tc>
        <w:tc>
          <w:tcPr>
            <w:tcW w:type="dxa" w:w="4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Public acknowledgment page (no login): show items/details, confirm control, optional remarks + received date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3.4, 3.6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T3.5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T3.7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BE</w:t>
            </w:r>
          </w:p>
        </w:tc>
        <w:tc>
          <w:tcPr>
            <w:tcW w:type="dxa" w:w="4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On submit: record acknowledgment, mark token used, update return order status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3.7, 3.8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T3.5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T3.8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FE</w:t>
            </w:r>
          </w:p>
        </w:tc>
        <w:tc>
          <w:tcPr>
            <w:tcW w:type="dxa" w:w="4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"Link expired" and "already acknowledged" states on the public page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3.8, 3.10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T3.5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T3.9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FE</w:t>
            </w:r>
          </w:p>
        </w:tc>
        <w:tc>
          <w:tcPr>
            <w:tcW w:type="dxa" w:w="4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Show acknowledgment status + who/when/remarks on the internal return order view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3.7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T3.7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T3.10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SEC</w:t>
            </w:r>
          </w:p>
        </w:tc>
        <w:tc>
          <w:tcPr>
            <w:tcW w:type="dxa" w:w="4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Security review of the login-free link: token entropy, single-use enforcement, rate limiting/abuse protection, no data leakage beyond the one order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3.4, 3.5, 3.8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T3.5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T3.11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QA</w:t>
            </w:r>
          </w:p>
        </w:tc>
        <w:tc>
          <w:tcPr>
            <w:tcW w:type="dxa" w:w="4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E2E test: dispatch → email with correct details → acknowledge without login → status updates; expired link blocked; reuse blocked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3.1–3.10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T3.3–T3.9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⚠ </w:t>
            </w:r>
            <w:r>
              <w:t xml:space="preserve">Affected by open questions #3 (re-send on expiry), #5 (single-use — assumed yes), #6 (partial vs whole-dispatch acknowledgment). Confirm #6 before T3.6/T3.7 as it changes the page and data model.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4E79"/>
        </w:rPr>
        <w:t xml:space="preserve">Epic 4 — Application Settings: Acknowledgment Link Expiry (REQ-4.x)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4460"/>
        <w:gridCol w:w="1200"/>
        <w:gridCol w:w="1400"/>
        <w:gridCol w:w="900"/>
      </w:tblGrid>
      <w:tr>
        <w:trPr>
          <w:tblHeader/>
        </w:trPr>
        <w:tc>
          <w:tcPr>
            <w:tcW w:type="dxa" w:w="70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0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46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120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Refs</w:t>
            </w:r>
          </w:p>
        </w:tc>
        <w:tc>
          <w:tcPr>
            <w:tcW w:type="dxa" w:w="140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Depends on</w:t>
            </w:r>
          </w:p>
        </w:tc>
        <w:tc>
          <w:tcPr>
            <w:tcW w:type="dxa" w:w="90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Size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T4.1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DB</w:t>
            </w:r>
          </w:p>
        </w:tc>
        <w:tc>
          <w:tcPr>
            <w:tcW w:type="dxa" w:w="4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Add acknowledgment-link expiry setting to app settings/config store + default value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4.1, 4.4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–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T4.2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BE</w:t>
            </w:r>
          </w:p>
        </w:tc>
        <w:tc>
          <w:tcPr>
            <w:tcW w:type="dxa" w:w="4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Read the expiry setting when generating a token; validate range; fall back to default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4.2–4.4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T4.1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T4.3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FE</w:t>
            </w:r>
          </w:p>
        </w:tc>
        <w:tc>
          <w:tcPr>
            <w:tcW w:type="dxa" w:w="4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Settings UI field for expiry duration with validation (positive, min/max)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4.1, 4.2, 4.4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T4.1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T4.4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QA</w:t>
            </w:r>
          </w:p>
        </w:tc>
        <w:tc>
          <w:tcPr>
            <w:tcW w:type="dxa" w:w="4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Test: changing the value changes new links’ validity; invalid values rejected; default applied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4.1–4.4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T4.2, T4.3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⚠ </w:t>
            </w:r>
            <w:r>
              <w:t xml:space="preserve">Open questions #4 (unit: hours/days) and #7 (who can edit the setting) affect T4.1/T4.3.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4E79"/>
        </w:rPr>
        <w:t xml:space="preserve">Epic 5 — Cross-Cutting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5560"/>
        <w:gridCol w:w="1500"/>
        <w:gridCol w:w="900"/>
      </w:tblGrid>
      <w:tr>
        <w:trPr>
          <w:tblHeader/>
        </w:trPr>
        <w:tc>
          <w:tcPr>
            <w:tcW w:type="dxa" w:w="70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0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56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150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Refs</w:t>
            </w:r>
          </w:p>
        </w:tc>
        <w:tc>
          <w:tcPr>
            <w:tcW w:type="dxa" w:w="900"/>
            <w:shd w:fill="E7EE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Size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T5.1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–</w:t>
            </w:r>
          </w:p>
        </w:tc>
        <w:tc>
          <w:tcPr>
            <w:tcW w:type="dxa" w:w="5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Resolve open questions #1–#7 with stakeholders (blocks several tasks)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§9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T5.2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QA</w:t>
            </w:r>
          </w:p>
        </w:tc>
        <w:tc>
          <w:tcPr>
            <w:tcW w:type="dxa" w:w="5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Full regression + end-to-end run of the combined flow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all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T5.3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–</w:t>
            </w:r>
          </w:p>
        </w:tc>
        <w:tc>
          <w:tcPr>
            <w:tcW w:type="dxa" w:w="5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Update user/admin documentation and release notes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all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</w:t>
            </w:r>
          </w:p>
        </w:tc>
      </w:tr>
    </w:tbl>
    <w:p/>
    <w:p>
      <w:pPr>
        <w:pStyle w:val="Heading1"/>
        <w:spacing w:after="120" w:before="240"/>
      </w:pPr>
      <w:r>
        <w:rPr>
          <w:b/>
          <w:bCs/>
          <w:color w:val="1F4E79"/>
        </w:rPr>
        <w:t xml:space="preserve">Suggested Sequence</w:t>
      </w:r>
    </w:p>
    <w:p>
      <w:pPr>
        <w:pStyle w:val="ListParagraph"/>
        <w:numPr>
          <w:ilvl w:val="0"/>
          <w:numId w:val="2"/>
        </w:numPr>
      </w:pPr>
      <w:r>
        <w:t xml:space="preserve">T5.1 — resolve open questions (unblocks the rest).</w:t>
      </w:r>
    </w:p>
    <w:p>
      <w:pPr>
        <w:pStyle w:val="ListParagraph"/>
        <w:numPr>
          <w:ilvl w:val="0"/>
          <w:numId w:val="2"/>
        </w:numPr>
      </w:pPr>
      <w:r>
        <w:t xml:space="preserve">Epic 1 (self-contained, quick win).</w:t>
      </w:r>
    </w:p>
    <w:p>
      <w:pPr>
        <w:pStyle w:val="ListParagraph"/>
        <w:numPr>
          <w:ilvl w:val="0"/>
          <w:numId w:val="2"/>
        </w:numPr>
      </w:pPr>
      <w:r>
        <w:t xml:space="preserve">Epic 4 (expiry setting) — needed before Epic 3 token generation.</w:t>
      </w:r>
    </w:p>
    <w:p>
      <w:pPr>
        <w:pStyle w:val="ListParagraph"/>
        <w:numPr>
          <w:ilvl w:val="0"/>
          <w:numId w:val="2"/>
        </w:numPr>
      </w:pPr>
      <w:r>
        <w:t xml:space="preserve">Epic 2 (access mapping).</w:t>
      </w:r>
    </w:p>
    <w:p>
      <w:pPr>
        <w:pStyle w:val="ListParagraph"/>
        <w:numPr>
          <w:ilvl w:val="0"/>
          <w:numId w:val="2"/>
        </w:numPr>
      </w:pPr>
      <w:r>
        <w:t xml:space="preserve">Epic 3 (dispatch + acknowledgment) — the largest epic, depends on Epic 4.</w:t>
      </w:r>
    </w:p>
    <w:p>
      <w:pPr>
        <w:pStyle w:val="ListParagraph"/>
        <w:numPr>
          <w:ilvl w:val="0"/>
          <w:numId w:val="2"/>
        </w:numPr>
      </w:pPr>
      <w:r>
        <w:t xml:space="preserve">T5.2 / T5.3 — regression, docs, release.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Open Questions to Resolve First</w:t>
      </w:r>
    </w:p>
    <w:p>
      <w:pPr>
        <w:pStyle w:val="ListParagraph"/>
        <w:numPr>
          <w:ilvl w:val="0"/>
          <w:numId w:val="3"/>
        </w:numPr>
      </w:pPr>
      <w:r>
        <w:t xml:space="preserve">Does Supplier Type drive behaviour or just classify?</w:t>
      </w:r>
    </w:p>
    <w:p>
      <w:pPr>
        <w:pStyle w:val="ListParagraph"/>
        <w:numPr>
          <w:ilvl w:val="0"/>
          <w:numId w:val="3"/>
        </w:numPr>
      </w:pPr>
      <w:r>
        <w:t xml:space="preserve">Can a user map suppliers of both types or only a matching type?</w:t>
      </w:r>
    </w:p>
    <w:p>
      <w:pPr>
        <w:pStyle w:val="ListParagraph"/>
        <w:numPr>
          <w:ilvl w:val="0"/>
          <w:numId w:val="3"/>
        </w:numPr>
      </w:pPr>
      <w:r>
        <w:t xml:space="preserve">On link expiry, can internal users re-send a new link (and is it logged)?</w:t>
      </w:r>
    </w:p>
    <w:p>
      <w:pPr>
        <w:pStyle w:val="ListParagraph"/>
        <w:numPr>
          <w:ilvl w:val="0"/>
          <w:numId w:val="3"/>
        </w:numPr>
      </w:pPr>
      <w:r>
        <w:t xml:space="preserve">Expiry unit — hours, days, or both?</w:t>
      </w:r>
    </w:p>
    <w:p>
      <w:pPr>
        <w:pStyle w:val="ListParagraph"/>
        <w:numPr>
          <w:ilvl w:val="0"/>
          <w:numId w:val="3"/>
        </w:numPr>
      </w:pPr>
      <w:r>
        <w:t xml:space="preserve">Is the link single-use? (assumed yes)</w:t>
      </w:r>
    </w:p>
    <w:p>
      <w:pPr>
        <w:pStyle w:val="ListParagraph"/>
        <w:numPr>
          <w:ilvl w:val="0"/>
          <w:numId w:val="3"/>
        </w:numPr>
      </w:pPr>
      <w:r>
        <w:t xml:space="preserve">Partial item acknowledgment, or whole-dispatch only?</w:t>
      </w:r>
    </w:p>
    <w:p>
      <w:pPr>
        <w:pStyle w:val="ListParagraph"/>
        <w:numPr>
          <w:ilvl w:val="0"/>
          <w:numId w:val="3"/>
        </w:numPr>
      </w:pPr>
      <w:r>
        <w:t xml:space="preserve">Who can change the expiry setting — all users or admin only?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2026-08-26T06:38:35.122Z</dcterms:created>
  <dcterms:modified xsi:type="dcterms:W3CDTF">2026-08-26T06:38:35.122Z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