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Arial" w:cs="Arial" w:eastAsia="Arial" w:hAnsi="Arial"/>
          <w:b/>
          <w:bCs/>
          <w:color w:val="1F3864"/>
          <w:sz w:val="52"/>
          <w:szCs w:val="52"/>
        </w:rPr>
        <w:t xml:space="preserve">SUPPLY MANAGEMENT SYSTEM</w:t>
      </w:r>
    </w:p>
    <w:p>
      <w:pPr>
        <w:spacing w:after="100"/>
        <w:jc w:val="center"/>
      </w:pPr>
      <w:r>
        <w:rPr>
          <w:rFonts w:ascii="Arial" w:cs="Arial" w:eastAsia="Arial" w:hAnsi="Arial"/>
          <w:color w:val="2E75B6"/>
          <w:sz w:val="36"/>
          <w:szCs w:val="36"/>
        </w:rPr>
        <w:t xml:space="preserve">FSD Addendum - Section 24</w:t>
      </w:r>
    </w:p>
    <w:p>
      <w:pPr>
        <w:spacing w:after="60"/>
        <w:jc w:val="center"/>
      </w:pPr>
      <w:r>
        <w:rPr>
          <w:rFonts w:ascii="Arial" w:cs="Arial" w:eastAsia="Arial" w:hAnsi="Arial"/>
          <w:color w:val="404040"/>
          <w:sz w:val="28"/>
          <w:szCs w:val="28"/>
        </w:rPr>
        <w:t xml:space="preserve">Organization Master Ledgers</w:t>
      </w:r>
    </w:p>
    <w:p>
      <w:pPr>
        <w:spacing w:after="60"/>
        <w:jc w:val="center"/>
      </w:pPr>
      <w:r>
        <w:rPr>
          <w:rFonts w:ascii="Arial" w:cs="Arial" w:eastAsia="Arial" w:hAnsi="Arial"/>
          <w:color w:val="666666"/>
          <w:sz w:val="17"/>
          <w:szCs w:val="17"/>
        </w:rPr>
        <w:t xml:space="preserve">Master Financial Ledger (Payables) and Master Product Movement Ledger (Inventory)</w:t>
      </w:r>
    </w:p>
    <w:p>
      <w:pPr>
        <w:spacing w:after="60"/>
        <w:jc w:val="center"/>
      </w:pPr>
      <w:r>
        <w:rPr>
          <w:rFonts w:ascii="Arial" w:cs="Arial" w:eastAsia="Arial" w:hAnsi="Arial"/>
          <w:color w:val="666666"/>
          <w:sz w:val="20"/>
          <w:szCs w:val="20"/>
        </w:rPr>
        <w:t xml:space="preserve">Version 1.0  |  2026</w:t>
      </w:r>
    </w:p>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Document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FSD Addendum - two organization-level consolidated ledgers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Part A</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Master Financial Ledger - consolidated payables tracking across all suppliers. Every invoice, payment, credit note, debit note, advance, retention, and write-off in one chronological view with a single running balance representing the total the organization owes.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Part 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Master Product Movement Ledger - consolidated product tracking across all warehouses. Every GRN receipt, material issue, return, transfer, adjustment, and wastage in one view with source and destination traceability.</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Relationship to existing ledgers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These are organization-level aggregations. The per-supplier ledger (Addendum 22) and per-product stock ledger (Addendum 20) continue to operate unchanged. The master ledgers are written in the SAME transaction as the per-supplier/per-product entries - one action, two ledger writes, zero drift.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New entities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MasterFinancialLedger, MasterProductLedger (both in finance_schema)</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  |  2026</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Purpose</w:t>
      </w:r>
    </w:p>
    <w:p>
      <w:pPr>
        <w:spacing w:after="100"/>
      </w:pPr>
      <w:r>
        <w:rPr>
          <w:rFonts w:ascii="Arial" w:cs="Arial" w:eastAsia="Arial" w:hAnsi="Arial"/>
          <w:color w:val="1A1A1A"/>
          <w:sz w:val="20"/>
          <w:szCs w:val="20"/>
        </w:rPr>
        <w:t xml:space="preserve">Addendum 22 introduced a per-supplier ledger that tracks what the organization owes each individual supplier. Addendum 20 introduced a per-product stock ledger that tracks inventory movements per product per warehouse. Both are essential, but neither provides an organization-level consolidated view. This addendum introduces two master ledgers that answer the two most fundamental questions for management visibility:</w:t>
      </w:r>
    </w:p>
    <w:p>
      <w:pPr>
        <w:spacing w:after="0" w:before="120"/>
      </w:pPr>
      <w:r>
        <w:t xml:space="preserve"/>
      </w:r>
    </w:p>
    <w:p>
      <w:pPr>
        <w:pStyle w:val="ListParagraph"/>
        <w:numPr>
          <w:ilvl w:val="0"/>
          <w:numId w:val="2"/>
        </w:numPr>
        <w:spacing w:after="60"/>
      </w:pPr>
      <w:r>
        <w:rPr>
          <w:rFonts w:ascii="Arial" w:cs="Arial" w:eastAsia="Arial" w:hAnsi="Arial"/>
          <w:color w:val="1A1A1A"/>
          <w:sz w:val="20"/>
          <w:szCs w:val="20"/>
        </w:rPr>
        <w:t xml:space="preserve">Master Financial Ledger: 'How much does the organization owe in total across all suppliers right now, and what is the complete history of every payable event that led to this number?'</w:t>
      </w:r>
    </w:p>
    <w:p>
      <w:pPr>
        <w:pStyle w:val="ListParagraph"/>
        <w:numPr>
          <w:ilvl w:val="0"/>
          <w:numId w:val="2"/>
        </w:numPr>
        <w:spacing w:after="60"/>
      </w:pPr>
      <w:r>
        <w:rPr>
          <w:rFonts w:ascii="Arial" w:cs="Arial" w:eastAsia="Arial" w:hAnsi="Arial"/>
          <w:color w:val="1A1A1A"/>
          <w:sz w:val="20"/>
          <w:szCs w:val="20"/>
        </w:rPr>
        <w:t xml:space="preserve">Master Product Movement Ledger: 'Where did every product come from, and where did it go? A single chronological trail of every item entering and leaving every warehouse, with source and destination in one view.'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Architecture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Both master ledgers are written in the SAME database transaction as the existing per-supplier/per-product ledger entries. When an invoice is approved, one transaction writes three things: (1) the SupplierLedgerEntry for that supplier (Addendum 22), (2) the MasterFinancialLedger entry for the organization, and (3) commits. If any one fails, all three roll back. This guarantees the master ledger is always in sync with the detail ledgers - zero drift by design, not by reconciliation.</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Part A - Master Financial Ledger</w:t>
      </w:r>
    </w:p>
    <w:p>
      <w:pPr>
        <w:spacing w:after="100"/>
      </w:pPr>
      <w:r>
        <w:rPr>
          <w:rFonts w:ascii="Arial" w:cs="Arial" w:eastAsia="Arial" w:hAnsi="Arial"/>
          <w:color w:val="1A1A1A"/>
          <w:sz w:val="20"/>
          <w:szCs w:val="20"/>
        </w:rPr>
        <w:t xml:space="preserve">A single, chronological, organization-level record of every financial event that affects how much the company owes its suppliers in total. One running balance represents the entire payables position of the organization at any point in time.</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2.1 MasterFinancialLedger -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entry_id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entry_date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When the financial event occurred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supplier_id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Suppliers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Which supplier this event relates to (for drill-down and filtering, not for balance splitting)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supplier_name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(denorm)</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Denormalised for reporting without joins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transaction_type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INVOICE_APPROVED / PAYMENT / CREDIT_NOTE / DEBIT_NOTE / ADVANCE_PAYMENT / ADVANCE_ADJUSTMENT / RETENTION_HOLD / RETENTION_RELEASE / BAD_DEBT_WRITEOFF / OPENING_BALANCE / CHEQUE_BOUNCE_REVERSAL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reference_type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Text(30)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INVOICE / PAYMENT / CREDIT_NOTE / DEBIT_NOTE / ADVANCE / RETENTION / WRITEOFF</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reference_id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FK to the source document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reference_no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Human-readable reference, e.g. INV-2026-00089</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debit_amount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Amount INCREASING what the org owes (e.g. invoice approved, cheque bounced)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credit_amount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Amount DECREASING what the org owes (e.g. payment made, credit note, advance)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balance_after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Organization-level running total: previous balance + debit - credit. Positive = org owes money; zero = fully settled; negative = net overpaid/advance position.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currency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Base currency of the organization (all entries converted to base currency)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narration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System-generated or user description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posted_by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Users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Who initiated the action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2.2 Complete List of Triggering Events</w:t>
      </w:r>
    </w:p>
    <w:p>
      <w:pPr>
        <w:spacing w:after="100"/>
      </w:pPr>
      <w:r>
        <w:rPr>
          <w:rFonts w:ascii="Arial" w:cs="Arial" w:eastAsia="Arial" w:hAnsi="Arial"/>
          <w:color w:val="1A1A1A"/>
          <w:sz w:val="20"/>
          <w:szCs w:val="20"/>
        </w:rPr>
        <w:t xml:space="preserve">Your requirement listed invoice approval, payment, and purchase return. The following is the COMPLETE list of every event that writes to this ledger - including the ones you asked me to check for: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200"/>
        <w:gridCol w:w="1200"/>
        <w:gridCol w:w="3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Debit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Credit</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Example / explanation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Invoice approved (3-way match passed)</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400,000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Company approved an invoice for PKR 400,000. Balance increases - company now owes this amount.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Payment against invoice(s)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300,000</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Company pays PKR 300,000 to the supplier. Balance decreases. If the invoice was 400,000, outstanding balance is now 100,000.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Purchase return - Credit Note received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50,000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Supplier issues a credit note for returned goods (Addendum 8A). Balance decreases - supplier owes the company this amount, offset against future invoices.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4</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Debit Note issued to supplier</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25,000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Company issues a debit note to the supplier (e.g. for damaged goods, short delivery penalty). This INCREASES what the supplier owes the company, effectively increasing the payable balance until offset.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Advance payment to supplier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100,000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Company pays a supplier in advance (before any invoice). Balance decreases (company has a credit position with this supplier). Will be adjusted when a future invoice arrives.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6</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Advance adjusted against invoice</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100,000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 previously paid advance is offset against a newly approved invoice. The debit re-balances the advance credit that was already recorded in entry #5.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Retention held from payment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20,000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Company withholds a retention amount from a payment (e.g. 5% retention per contract). The credit reduces the payable - the retained amount is not yet owed until released.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8</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Retention released</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20,000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Previously held retention is released to the supplier (e.g. after defects liability period). Debit - the company now owes this amount again.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Cheque bounced (reversal)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300,000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 cheque payment that was already recorded as a credit (entry #2) bounces. Debit reverses the original credit. Balance returns to pre-payment state.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10</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Bad debt write-off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15,000</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An amount owed to a supplier is written off (e.g. disputed invoice resolved, supplier ceased trading). Credit removes the payable from the books. Requires Finance Manager approval.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Opening balance (migration)</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Varies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One-time import of pre-system payables at go-live. Sets the starting balance for the organization.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bCs/>
                <w:color w:val="991B1B"/>
                <w:sz w:val="18"/>
                <w:szCs w:val="18"/>
              </w:rPr>
              <w:t xml:space="preserve">What you were missing</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Your original 3 items (invoice, payment, purchase return) covered the core flow. The complete list adds: Debit Notes (#4), Advance Payments and their adjustment (#5, #6), Retention hold and release (#7, #8), Cheque bounce reversal (#9), Bad debt write-off (#10), and Opening balances (#11). These 8 additional event types are all real-world scenarios that will arise in any construction or enterprise supply chain.</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2.3 Worked Example - Full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1200"/>
        <w:gridCol w:w="1200"/>
        <w:gridCol w:w="23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Debit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Credit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Balance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Supplier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Invoice approved - Lenovo Laptops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400,000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400,000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Lenovo Distributors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Invoice approved - Cement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150,000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550,000</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Ali Cement Works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Payment to Lenovo (partial)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300,000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250,000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Lenovo Distributors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Credit Note - returned 2 laptops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50,000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200,000</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Lenovo Distributors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Payment to Ali Cement (full)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150,000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50,000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Ali Cement Works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Advance payment to Steel Corp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200,000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-150,000</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Steel Corp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Invoice approved - Steel rebar</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300,000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150,000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Steel Corp</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Advance adjusted against steel inv.</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200,000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350,000</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Steel Corp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(advance offset cancels the credit from #6, net effect: 300k invoice with 200k already paid = 100k still owed to Steel Corp)</w:t>
            </w:r>
          </w:p>
        </w:tc>
      </w:tr>
    </w:tbl>
    <w:p>
      <w:pPr>
        <w:spacing w:after="0" w:before="120"/>
      </w:pPr>
      <w:r>
        <w:t xml:space="preserve"/>
      </w:r>
    </w:p>
    <w:p>
      <w:pPr>
        <w:spacing w:after="100"/>
      </w:pPr>
      <w:r>
        <w:rPr>
          <w:rFonts w:ascii="Arial" w:cs="Arial" w:eastAsia="Arial" w:hAnsi="Arial"/>
          <w:color w:val="666666"/>
          <w:sz w:val="20"/>
          <w:szCs w:val="20"/>
        </w:rPr>
        <w:t xml:space="preserve">The balance column is the single, organization-wide running total. At any row, it tells management: this is how much the company owes in total across all suppliers right now.</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Part B - Master Product Movement Ledger</w:t>
      </w:r>
    </w:p>
    <w:p>
      <w:pPr>
        <w:spacing w:after="100"/>
      </w:pPr>
      <w:r>
        <w:rPr>
          <w:rFonts w:ascii="Arial" w:cs="Arial" w:eastAsia="Arial" w:hAnsi="Arial"/>
          <w:color w:val="1A1A1A"/>
          <w:sz w:val="20"/>
          <w:szCs w:val="20"/>
        </w:rPr>
        <w:t xml:space="preserve">A single, chronological, organization-level record of every product movement across every warehouse. Answers: where did each product come from (which supplier, which GRN) and where did it go (which project, which department, which MIR). One consolidated view of the complete supply chain journey of every item.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Relationship to existing Stock Ledger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The per-product per-warehouse InventoryLedgerEntries (Addendum 20 Section 15) tracks movements scoped to one product at one warehouse. This Master Product Ledger is a parallel, organization-wide view of the same movements but enriched with source/destination context (supplier name, project name, warehouse names) that the per-product ledger does not carry. Both are written in the same transaction.</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3.1 MasterProductLedger -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entry_id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entry_date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When the movement occurred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product_id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Products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Which product moved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product_name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(denorm)</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Denormalised for reporting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product_code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(denorm)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category_name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Text(100)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(denorm)</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Product category for filtering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transaction_type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GRN_RECEIPT / MATERIAL_ISSUE / MATERIAL_RETURN / TRANSFER_OUT / TRANSFER_IN / STOCK_ADJUSTMENT / WASTAGE / OPENING_STOCK</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quantity_in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Quantity entering the organization (GRN, return, transfer-in, positive adjustment)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quantity_out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Quantity leaving (issue, transfer-out, wastage, negative adjustment)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unit_cost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Cost per unit at the time of movement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total_value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(quantity_in or quantity_out) x unit_cost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source_type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Text(30)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Where the product CAME FROM: SUPPLIER / WAREHOUSE / PROJECT_SITE / ADJUSTMENT / OPENING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source_name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Human-readable: supplier name, warehouse name, project name, etc.</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source_ref</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Reference document: GRN number, MRV number, etc.</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destination_type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Where the product WENT TO: WAREHOUSE / PROJECT / DEPARTMENT / EMPLOYEE / WASTAGE / ADJUSTMENT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destination_name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Human-readable: warehouse name, project name, department name, etc.</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destination_ref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Reference document: MIV number, transfer number, etc.</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warehouse_id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Warehouses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Which warehouse this movement occurred at (for filtering)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batch_number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If batch-tracked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serial_number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Text(100)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If serial-tracked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reference_id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FK to the source document (GRN, MIV, Return, etc.)</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narration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Text(300)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posted_by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created_at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3.2 Complete List of Triggering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1200"/>
        <w:gridCol w:w="1800"/>
        <w:gridCol w:w="23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Qty In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Qty Out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Destination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GRN receipt (goods received)</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Supplier: Lenovo Dist.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Warehouse: Main WH</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Material Issue (MIV posted)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20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Warehouse: Main WH</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Project: Tower Block 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Material Return (good condition)</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Project: Tower Block 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Warehouse: Main WH</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Material Return (damaged)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Project: Tower Block A</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Wastage (auto)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Inter-warehouse Transfer 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Warehouse: Main WH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Warehouse: Site Store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Inter-warehouse Transfer In</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Warehouse: Main WH</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Warehouse: Site Store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Stock Adjustment (positive)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Adjustment: Count Var.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Warehouse: Main WH</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Stock Adjustment (negative)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Warehouse: Main WH</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Adjustment: Count Var.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Wastage (approved)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Warehouse: Site Store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Wastage: Broken Tiles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Opening Stock (migration)</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Opening Balance</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Warehouse: Main WH</w:t>
            </w:r>
          </w:p>
        </w:tc>
      </w:tr>
    </w:tbl>
    <w:p>
      <w:pPr>
        <w:spacing w:after="0" w:before="120"/>
      </w:pPr>
      <w:r>
        <w:t xml:space="preserve"/>
      </w:r>
    </w:p>
    <w:p>
      <w:pPr>
        <w:spacing w:after="100"/>
      </w:pPr>
      <w:r>
        <w:rPr>
          <w:rFonts w:ascii="Arial" w:cs="Arial" w:eastAsia="Arial" w:hAnsi="Arial"/>
          <w:color w:val="1A1A1A"/>
          <w:sz w:val="20"/>
          <w:szCs w:val="20"/>
        </w:rPr>
        <w:t xml:space="preserve">The source/destination columns are the key value of this ledger over the existing per-product stock ledger: at a glance, management can see that 100 laptops arrived from Lenovo, 20 went to Tower Block A, 10 came back, and 5 were wasted. The full journey of every product across the organization in one place.</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Master Ledger Screens</w:t>
      </w:r>
    </w:p>
    <w:p>
      <w:pPr>
        <w:pStyle w:val="Heading2"/>
        <w:spacing w:after="80" w:before="280"/>
      </w:pPr>
      <w:r>
        <w:rPr>
          <w:rFonts w:ascii="Arial" w:cs="Arial" w:eastAsia="Arial" w:hAnsi="Arial"/>
          <w:b/>
          <w:bCs/>
          <w:color w:val="2E75B6"/>
          <w:sz w:val="26"/>
          <w:szCs w:val="26"/>
        </w:rPr>
        <w:t xml:space="preserve">4.1 Master Financial Ledger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Navigation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Finance &gt; Master Payables Ledger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Route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/finance/master-ledger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Default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Chronological list of all entries, most recent first, with running balance column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Filters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Date range, supplier (dropdown), transaction type (multi-select), minimum amount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Summary cards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Total Payables (current balance), Total Debits (period), Total Credits (period), Net Movement (period)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Drill-down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Clicking any entry's reference_no navigates to the source document (Invoice, Payment, Credit Note, etc.)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Supplier filter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Selecting a supplier filters to only that supplier's entries but still shows the organization-level running balance for context; a toggle switches to the per-supplier balance view (Addendum 22)</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Export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PDF and Excel, consistent with existing report exports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Finance Manager, Finance Officer, Admin. Procurement Manager: read-only.</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4.2 Master Product Movement Ledger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Navigation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Inventory &gt; Master Product Ledger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Route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/inventory/master-product-ledger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Default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Chronological list of all product movements, most recent first, showing source and destination columns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Filters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Date range, product (searchable), category, warehouse, transaction type, source_type, destination_type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Summary cards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Total Receipts (qty in, period), Total Issues (qty out, period), Net Movement (period), Total Value Moved (period)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Drill-down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Clicking reference_no navigates to the source document (GRN, MIV, Return, etc.). Clicking product_name navigates to the Product detail with current stock levels.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Product journey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Selecting a specific product + clicking 'View Journey' opens a timeline view (chronological list of every movement for that product across all warehouses) showing the full lifecycle from receipt to issue/return/wastage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Export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PDF and Excel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Inventory Manager, Store Manager, Finance Manager, Admin. Project Manager: filtered to their projects.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/api/finance/master-ledger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Master Financial Ledger: paginated entries with running balance. Filters: dateRange, supplierId, transactionType, minAmount</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/api/finance/master-ledger/summary</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Summary cards: totalPayables, totalDebits, totalCredits, netMovement for the filtered period</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/api/finance/master-ledger/balance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Current organization-wide payables balance (latest entry's balance_after)</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/api/inventory/master-product-ledger</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Master Product Ledger: paginated entries with source/destination. Filters: dateRange, productId, categoryId, warehouseId, transactionType, sourceType, destinationType</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/api/inventory/master-product-ledger/summary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Summary cards: totalReceiptsQty, totalIssuesQty, netMovement, totalValueMoved</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/api/inventory/master-product-ledger/product-journey/{productId}</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Complete movement history for one product across all warehouses, chronological</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Write Integration - Same Transaction as Existing Ledgers</w:t>
      </w:r>
    </w:p>
    <w:p>
      <w:pPr>
        <w:spacing w:after="100"/>
      </w:pPr>
      <w:r>
        <w:rPr>
          <w:rFonts w:ascii="Arial" w:cs="Arial" w:eastAsia="Arial" w:hAnsi="Arial"/>
          <w:color w:val="1A1A1A"/>
          <w:sz w:val="20"/>
          <w:szCs w:val="20"/>
        </w:rPr>
        <w:t xml:space="preserve">The master ledger entries are written by extending the SAME service calls that already write the per-supplier and per-product ledger entries. No new event subscriptions, no new Hangfire jobs, no eventual consistency - these are synchronous writes in the same EF Core transaction.</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6.1 Financial Side - IMasterFinancialLedgerService</w:t>
      </w:r>
    </w:p>
    <w:p>
      <w:pPr>
        <w:pStyle w:val="ListParagraph"/>
        <w:numPr>
          <w:ilvl w:val="0"/>
          <w:numId w:val="2"/>
        </w:numPr>
        <w:spacing w:after="60"/>
      </w:pPr>
      <w:r>
        <w:rPr>
          <w:rFonts w:ascii="Arial" w:cs="Arial" w:eastAsia="Arial" w:hAnsi="Arial"/>
          <w:color w:val="1A1A1A"/>
          <w:sz w:val="20"/>
          <w:szCs w:val="20"/>
        </w:rPr>
        <w:t xml:space="preserve">ISupplierLedgerService.PostEntryAsync (Addendum 22) is extended: after writing the SupplierLedgerEntry, it also writes a MasterFinancialLedger entry within the same transaction, with the same debit/credit amounts and the organization-level running balance.</w:t>
      </w:r>
    </w:p>
    <w:p>
      <w:pPr>
        <w:pStyle w:val="ListParagraph"/>
        <w:numPr>
          <w:ilvl w:val="0"/>
          <w:numId w:val="2"/>
        </w:numPr>
        <w:spacing w:after="60"/>
      </w:pPr>
      <w:r>
        <w:rPr>
          <w:rFonts w:ascii="Arial" w:cs="Arial" w:eastAsia="Arial" w:hAnsi="Arial"/>
          <w:color w:val="1A1A1A"/>
          <w:sz w:val="20"/>
          <w:szCs w:val="20"/>
        </w:rPr>
        <w:t xml:space="preserve">The running balance is computed at write time by reading the last MasterFinancialLedger entry's balance_after (with UPDLOCK for concurrency safety, same pattern as the per-supplier ledger).</w:t>
      </w:r>
    </w:p>
    <w:p>
      <w:pPr>
        <w:pStyle w:val="ListParagraph"/>
        <w:numPr>
          <w:ilvl w:val="0"/>
          <w:numId w:val="2"/>
        </w:numPr>
        <w:spacing w:after="60"/>
      </w:pPr>
      <w:r>
        <w:rPr>
          <w:rFonts w:ascii="Arial" w:cs="Arial" w:eastAsia="Arial" w:hAnsi="Arial"/>
          <w:color w:val="1A1A1A"/>
          <w:sz w:val="20"/>
          <w:szCs w:val="20"/>
        </w:rPr>
        <w:t xml:space="preserve">If the master ledger write fails, the entire transaction (including the per-supplier entry and the business action) rolls back.</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6.2 Product Side - IMasterProductLedgerService</w:t>
      </w:r>
    </w:p>
    <w:p>
      <w:pPr>
        <w:pStyle w:val="ListParagraph"/>
        <w:numPr>
          <w:ilvl w:val="0"/>
          <w:numId w:val="2"/>
        </w:numPr>
        <w:spacing w:after="60"/>
      </w:pPr>
      <w:r>
        <w:rPr>
          <w:rFonts w:ascii="Arial" w:cs="Arial" w:eastAsia="Arial" w:hAnsi="Arial"/>
          <w:color w:val="1A1A1A"/>
          <w:sz w:val="20"/>
          <w:szCs w:val="20"/>
        </w:rPr>
        <w:t xml:space="preserve">IInventoryLedgerService.CreateEntryAsync (Addendum 20 Section 15) is extended: after writing the InventoryLedgerEntry, it also writes a MasterProductLedger entry within the same transaction, enriched with source_type/source_name/destination_type/destination_name resolved from the context.</w:t>
      </w:r>
    </w:p>
    <w:p>
      <w:pPr>
        <w:pStyle w:val="ListParagraph"/>
        <w:numPr>
          <w:ilvl w:val="0"/>
          <w:numId w:val="2"/>
        </w:numPr>
        <w:spacing w:after="60"/>
      </w:pPr>
      <w:r>
        <w:rPr>
          <w:rFonts w:ascii="Arial" w:cs="Arial" w:eastAsia="Arial" w:hAnsi="Arial"/>
          <w:color w:val="1A1A1A"/>
          <w:sz w:val="20"/>
          <w:szCs w:val="20"/>
        </w:rPr>
        <w:t xml:space="preserve">Source/destination resolution: the service receives context about the triggering action (e.g. this GRN is from supplier X, this MIV is going to Project Y) and maps it to the human-readable source_name and destination_name fields.</w:t>
      </w:r>
    </w:p>
    <w:p>
      <w:pPr>
        <w:pStyle w:val="ListParagraph"/>
        <w:numPr>
          <w:ilvl w:val="0"/>
          <w:numId w:val="2"/>
        </w:numPr>
        <w:spacing w:after="60"/>
      </w:pPr>
      <w:r>
        <w:rPr>
          <w:rFonts w:ascii="Arial" w:cs="Arial" w:eastAsia="Arial" w:hAnsi="Arial"/>
          <w:color w:val="1A1A1A"/>
          <w:sz w:val="20"/>
          <w:szCs w:val="20"/>
        </w:rPr>
        <w:t xml:space="preserve">If the master product ledger write fails, the entire transaction (including the per-product entry and the business action) rolls back.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065F46"/>
                <w:sz w:val="18"/>
                <w:szCs w:val="18"/>
              </w:rPr>
              <w:t xml:space="preserve">Zero drift guarantee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Because both master ledger writes happen inside the SAME transaction as the detail ledger writes, the master ledger can never be out of sync with the detail ledgers. There is no reconciliation job, no eventual consistency window, no 'sync failed' state. If the entry appears in the per-supplier ledger, it appears in the master financial ledger. If it does not appear, neither does.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7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Screen / action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Admin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Finance Mgr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Inv. Mgr</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Others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Master Financial Ledger (view)</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Fin. Off., Proc. Mgr (read)</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Master Financial Ledger (export)</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Fin. Off.</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Master Product Ledger (view)</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Store Mgr, Proj. Mgr (own)</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Master Product Ledger (export)</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Store Mgr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Product Journey view</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Store Mgr, Proj. Mgr (own)</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Master balance endpoint</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Fin. Off.</w:t>
            </w:r>
          </w:p>
        </w:tc>
      </w:tr>
    </w:tbl>
    <w:p>
      <w:pPr>
        <w:spacing w:after="0" w:before="120"/>
      </w:pPr>
      <w:r>
        <w:t xml:space="preserve"/>
      </w:r>
    </w:p>
    <w:p>
      <w:pPr>
        <w:spacing w:after="100"/>
      </w:pPr>
      <w:r>
        <w:rPr>
          <w:rFonts w:ascii="Arial" w:cs="Arial" w:eastAsia="Arial" w:hAnsi="Arial"/>
          <w:color w:val="666666"/>
          <w:sz w:val="20"/>
          <w:szCs w:val="20"/>
        </w:rPr>
        <w:t xml:space="preserve">- End of Addendum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6"/>
        <w:szCs w:val="16"/>
      </w:rPr>
      <w:t xml:space="preserve">Page </w:t>
    </w:r>
    <w:r>
      <w:rPr>
        <w:rFonts w:ascii="Arial" w:cs="Arial" w:eastAsia="Arial" w:hAnsi="Arial"/>
        <w:color w:val="2E75B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2E75B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color w:val="666666"/>
        <w:sz w:val="16"/>
        <w:szCs w:val="16"/>
      </w:rPr>
      <w:t xml:space="preserve">SMS FSD - Addendum 24: Organization Master Ledgers (Financial +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rPr>
  </w:style>
  <w:style w:type="paragraph" w:styleId="Heading2">
    <w:name w:val="Heading 2"/>
    <w:basedOn w:val="Normal"/>
    <w:next w:val="Normal"/>
    <w:qFormat/>
    <w:pPr>
      <w:spacing w:after="80" w:before="280"/>
      <w:outlineLvl w:val="1"/>
    </w:pPr>
    <w:rPr>
      <w:rFonts w:ascii="Arial" w:cs="Arial" w:eastAsia="Arial" w:hAnsi="Arial"/>
      <w:b/>
      <w:bCs/>
      <w:color w:val="2E75B6"/>
    </w:rPr>
  </w:style>
  <w:style w:type="paragraph" w:styleId="Heading3">
    <w:name w:val="Heading 3"/>
    <w:basedOn w:val="Normal"/>
    <w:next w:val="Normal"/>
    <w:qFormat/>
    <w:pPr>
      <w:spacing w:after="60" w:before="200"/>
      <w:outlineLvl w:val="2"/>
    </w:pPr>
    <w:rPr>
      <w:rFonts w:ascii="Arial" w:cs="Arial" w:eastAsia="Arial" w:hAnsi="Arial"/>
      <w:b/>
      <w:bCs/>
      <w:color w:val="4040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2026-07-25T08:31:45.906Z</dcterms:created>
  <dcterms:modified xsi:type="dcterms:W3CDTF">2026-07-25T08:31:45.920Z</dcterms:modified>
</cp:coreProperties>
</file>

<file path=docProps/custom.xml><?xml version="1.0" encoding="utf-8"?>
<Properties xmlns="http://schemas.openxmlformats.org/officeDocument/2006/custom-properties" xmlns:vt="http://schemas.openxmlformats.org/officeDocument/2006/docPropsVTypes"/>
</file>