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Abydos</w:t>
      </w:r>
    </w:p>
    <w:p w:rsidR="00000000" w:rsidDel="00000000" w:rsidP="00000000" w:rsidRDefault="00000000" w:rsidRPr="00000000" w14:paraId="00000002">
      <w:pPr>
        <w:rPr/>
      </w:pPr>
      <w:r w:rsidDel="00000000" w:rsidR="00000000" w:rsidRPr="00000000">
        <w:rPr>
          <w:rtl w:val="0"/>
        </w:rPr>
        <w:t xml:space="preserve">Egypt’s Sacred City of Afterlife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Abydos wasn’t just an ancient city — it was one of the most sacred places in all of Egypt. Located in Sohag, this legendary site became the burial ground of Egypt’s earliest kings and later the spiritual center of Osiris, god of the afterlife. For thousands of years, pilgrims traveled here to honor the dead, while massive temples and royal tombs shaped the story of ancient Egyptian power and belief. From the famous Abydos King List to hidden funerary complexes, Abydos remains a place where mythology, history, and mystery all meet.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