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Qantir (Pi-Ramesses)</w:t>
      </w:r>
    </w:p>
    <w:p w:rsidR="00000000" w:rsidDel="00000000" w:rsidP="00000000" w:rsidRDefault="00000000" w:rsidRPr="00000000" w14:paraId="00000002">
      <w:pPr>
        <w:rPr/>
      </w:pPr>
      <w:r w:rsidDel="00000000" w:rsidR="00000000" w:rsidRPr="00000000">
        <w:rPr>
          <w:rtl w:val="0"/>
        </w:rPr>
        <w:t xml:space="preserve">The Lost City where an Empire Began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Once the dazzling capital of Ramesses II, Pi-Ramesses was the beating heart of Egypt’s empire during the New Kingdom. Hidden today beneath the village of Qantir in Sharqia, this ancient mega-city was packed with royal palaces, military power, and high-tech workshops producing bronze and glass centuries ahead of their time. Built near Egypt’s eastern border, it connected the kingdom to Asia through trade, diplomacy, and defense. Even in ruins, Pi-Ramesses still tells the story of an empire at its absolute peak.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