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2D464" w14:textId="77777777" w:rsidR="00E7030C" w:rsidRDefault="00000000" w:rsidP="00E216C6">
      <w:pPr>
        <w:shd w:val="clear" w:color="auto" w:fill="1F4E79"/>
        <w:spacing w:line="204" w:lineRule="auto"/>
        <w:jc w:val="center"/>
      </w:pPr>
      <w:r>
        <w:rPr>
          <w:b/>
          <w:bCs/>
          <w:color w:val="FFFFFF"/>
          <w:sz w:val="44"/>
          <w:szCs w:val="44"/>
        </w:rPr>
        <w:t>BUSINESS ANALYSIS &amp; RECOMMENDATION REPORT</w:t>
      </w:r>
    </w:p>
    <w:p w14:paraId="3D1AD539" w14:textId="77777777" w:rsidR="00E7030C" w:rsidRDefault="00000000" w:rsidP="00E216C6">
      <w:pPr>
        <w:shd w:val="clear" w:color="auto" w:fill="2E75B6"/>
        <w:spacing w:line="204" w:lineRule="auto"/>
        <w:jc w:val="center"/>
      </w:pPr>
      <w:r>
        <w:rPr>
          <w:i/>
          <w:iCs/>
          <w:color w:val="FFFFFF"/>
          <w:sz w:val="24"/>
          <w:szCs w:val="24"/>
        </w:rPr>
        <w:t xml:space="preserve">Bank Performance </w:t>
      </w:r>
      <w:proofErr w:type="gramStart"/>
      <w:r>
        <w:rPr>
          <w:i/>
          <w:iCs/>
          <w:color w:val="FFFFFF"/>
          <w:sz w:val="24"/>
          <w:szCs w:val="24"/>
        </w:rPr>
        <w:t>Analysis  —</w:t>
      </w:r>
      <w:proofErr w:type="gramEnd"/>
      <w:r>
        <w:rPr>
          <w:i/>
          <w:iCs/>
          <w:color w:val="FFFFFF"/>
          <w:sz w:val="24"/>
          <w:szCs w:val="24"/>
        </w:rPr>
        <w:t xml:space="preserve">  FY 2024–25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8"/>
        <w:gridCol w:w="2976"/>
        <w:gridCol w:w="2127"/>
        <w:gridCol w:w="1149"/>
      </w:tblGrid>
      <w:tr w:rsidR="00E7030C" w14:paraId="541FD3DE" w14:textId="77777777" w:rsidTr="00C94EE8">
        <w:tc>
          <w:tcPr>
            <w:tcW w:w="3828" w:type="dxa"/>
            <w:tcBorders>
              <w:top w:val="none" w:sz="0" w:space="0" w:color="FFFFFF"/>
              <w:left w:val="none" w:sz="0" w:space="0" w:color="FFFFFF"/>
              <w:bottom w:val="none" w:sz="0" w:space="0" w:color="FFFFFF"/>
              <w:right w:val="none" w:sz="0" w:space="0" w:color="FFFFFF"/>
            </w:tcBorders>
            <w:shd w:val="clear" w:color="auto" w:fill="EBF0F9"/>
            <w:tcMar>
              <w:top w:w="80" w:type="dxa"/>
              <w:left w:w="160" w:type="dxa"/>
              <w:bottom w:w="80" w:type="dxa"/>
              <w:right w:w="160" w:type="dxa"/>
            </w:tcMar>
          </w:tcPr>
          <w:p w14:paraId="4972BDD4" w14:textId="77777777" w:rsidR="00E7030C" w:rsidRDefault="00000000" w:rsidP="00E216C6">
            <w:pPr>
              <w:spacing w:after="10" w:line="204" w:lineRule="auto"/>
            </w:pPr>
            <w:r>
              <w:rPr>
                <w:b/>
                <w:bCs/>
                <w:color w:val="2E75B6"/>
                <w:sz w:val="17"/>
                <w:szCs w:val="17"/>
              </w:rPr>
              <w:t>Analyst</w:t>
            </w:r>
          </w:p>
          <w:p w14:paraId="51E94ADA" w14:textId="77777777" w:rsidR="00E7030C" w:rsidRDefault="00000000" w:rsidP="00E216C6">
            <w:pPr>
              <w:spacing w:line="204" w:lineRule="auto"/>
            </w:pPr>
            <w:r>
              <w:rPr>
                <w:b/>
                <w:bCs/>
                <w:color w:val="111111"/>
                <w:sz w:val="19"/>
                <w:szCs w:val="19"/>
              </w:rPr>
              <w:t>Abhey Veer Datta</w:t>
            </w:r>
          </w:p>
        </w:tc>
        <w:tc>
          <w:tcPr>
            <w:tcW w:w="2976" w:type="dxa"/>
            <w:tcBorders>
              <w:top w:val="none" w:sz="0" w:space="0" w:color="FFFFFF"/>
              <w:left w:val="none" w:sz="0" w:space="0" w:color="FFFFFF"/>
              <w:bottom w:val="none" w:sz="0" w:space="0" w:color="FFFFFF"/>
              <w:right w:val="none" w:sz="0" w:space="0" w:color="FFFFFF"/>
            </w:tcBorders>
            <w:shd w:val="clear" w:color="auto" w:fill="EBF0F9"/>
            <w:tcMar>
              <w:top w:w="80" w:type="dxa"/>
              <w:left w:w="160" w:type="dxa"/>
              <w:bottom w:w="80" w:type="dxa"/>
              <w:right w:w="160" w:type="dxa"/>
            </w:tcMar>
          </w:tcPr>
          <w:p w14:paraId="7DE9690E" w14:textId="77777777" w:rsidR="00E7030C" w:rsidRDefault="00000000" w:rsidP="00E216C6">
            <w:pPr>
              <w:spacing w:after="10" w:line="204" w:lineRule="auto"/>
            </w:pPr>
            <w:r>
              <w:rPr>
                <w:b/>
                <w:bCs/>
                <w:color w:val="2E75B6"/>
                <w:sz w:val="17"/>
                <w:szCs w:val="17"/>
              </w:rPr>
              <w:t>Report Date</w:t>
            </w:r>
          </w:p>
          <w:p w14:paraId="7E703272" w14:textId="77777777" w:rsidR="00E7030C" w:rsidRDefault="00000000" w:rsidP="00E216C6">
            <w:pPr>
              <w:spacing w:line="204" w:lineRule="auto"/>
            </w:pPr>
            <w:r>
              <w:rPr>
                <w:b/>
                <w:bCs/>
                <w:color w:val="111111"/>
                <w:sz w:val="19"/>
                <w:szCs w:val="19"/>
              </w:rPr>
              <w:t>March 2025</w:t>
            </w:r>
          </w:p>
        </w:tc>
        <w:tc>
          <w:tcPr>
            <w:tcW w:w="2127" w:type="dxa"/>
            <w:tcBorders>
              <w:top w:val="none" w:sz="0" w:space="0" w:color="FFFFFF"/>
              <w:left w:val="none" w:sz="0" w:space="0" w:color="FFFFFF"/>
              <w:bottom w:val="none" w:sz="0" w:space="0" w:color="FFFFFF"/>
              <w:right w:val="none" w:sz="0" w:space="0" w:color="FFFFFF"/>
            </w:tcBorders>
            <w:shd w:val="clear" w:color="auto" w:fill="EBF0F9"/>
            <w:tcMar>
              <w:top w:w="80" w:type="dxa"/>
              <w:left w:w="160" w:type="dxa"/>
              <w:bottom w:w="80" w:type="dxa"/>
              <w:right w:w="160" w:type="dxa"/>
            </w:tcMar>
          </w:tcPr>
          <w:p w14:paraId="314C4310" w14:textId="77777777" w:rsidR="00E7030C" w:rsidRDefault="00000000" w:rsidP="00E216C6">
            <w:pPr>
              <w:spacing w:after="10" w:line="204" w:lineRule="auto"/>
            </w:pPr>
            <w:r>
              <w:rPr>
                <w:b/>
                <w:bCs/>
                <w:color w:val="2E75B6"/>
                <w:sz w:val="17"/>
                <w:szCs w:val="17"/>
              </w:rPr>
              <w:t>Reference Period</w:t>
            </w:r>
          </w:p>
          <w:p w14:paraId="55B59C32" w14:textId="77777777" w:rsidR="00E7030C" w:rsidRDefault="00000000" w:rsidP="00E216C6">
            <w:pPr>
              <w:spacing w:line="204" w:lineRule="auto"/>
            </w:pPr>
            <w:r>
              <w:rPr>
                <w:b/>
                <w:bCs/>
                <w:color w:val="111111"/>
                <w:sz w:val="19"/>
                <w:szCs w:val="19"/>
              </w:rPr>
              <w:t>FY 2024–25</w:t>
            </w:r>
          </w:p>
        </w:tc>
        <w:tc>
          <w:tcPr>
            <w:tcW w:w="1149" w:type="dxa"/>
            <w:tcBorders>
              <w:top w:val="none" w:sz="0" w:space="0" w:color="FFFFFF"/>
              <w:left w:val="none" w:sz="0" w:space="0" w:color="FFFFFF"/>
              <w:bottom w:val="none" w:sz="0" w:space="0" w:color="FFFFFF"/>
              <w:right w:val="none" w:sz="0" w:space="0" w:color="FFFFFF"/>
            </w:tcBorders>
            <w:shd w:val="clear" w:color="auto" w:fill="EBF0F9"/>
            <w:tcMar>
              <w:top w:w="80" w:type="dxa"/>
              <w:left w:w="160" w:type="dxa"/>
              <w:bottom w:w="80" w:type="dxa"/>
              <w:right w:w="160" w:type="dxa"/>
            </w:tcMar>
          </w:tcPr>
          <w:p w14:paraId="3B94BCE8" w14:textId="0C14F5C3" w:rsidR="00E7030C" w:rsidRDefault="00E7030C" w:rsidP="00E216C6">
            <w:pPr>
              <w:spacing w:line="204" w:lineRule="auto"/>
            </w:pPr>
          </w:p>
        </w:tc>
      </w:tr>
    </w:tbl>
    <w:p w14:paraId="640FBF57" w14:textId="77777777" w:rsidR="00E7030C" w:rsidRDefault="00E7030C" w:rsidP="00E216C6">
      <w:pPr>
        <w:spacing w:before="120" w:line="204" w:lineRule="auto"/>
      </w:pPr>
    </w:p>
    <w:p w14:paraId="4B2C68B0" w14:textId="77777777" w:rsidR="00E7030C" w:rsidRDefault="00000000" w:rsidP="00E216C6">
      <w:pPr>
        <w:pBdr>
          <w:bottom w:val="single" w:sz="5" w:space="1" w:color="2E75B6"/>
        </w:pBdr>
        <w:spacing w:before="220" w:after="50" w:line="204" w:lineRule="auto"/>
      </w:pPr>
      <w:r>
        <w:rPr>
          <w:b/>
          <w:bCs/>
          <w:caps/>
          <w:color w:val="1F4E79"/>
          <w:sz w:val="26"/>
          <w:szCs w:val="26"/>
        </w:rPr>
        <w:t>1. Key Numbers — FY 2024–25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980"/>
        <w:gridCol w:w="4740"/>
      </w:tblGrid>
      <w:tr w:rsidR="00E7030C" w14:paraId="5C323E67" w14:textId="77777777">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01B8F9FD" w14:textId="77777777" w:rsidR="00E7030C" w:rsidRDefault="00000000" w:rsidP="00E216C6">
            <w:pPr>
              <w:spacing w:line="204" w:lineRule="auto"/>
            </w:pPr>
            <w:r>
              <w:rPr>
                <w:b/>
                <w:bCs/>
                <w:color w:val="FFFFFF"/>
                <w:sz w:val="18"/>
                <w:szCs w:val="18"/>
              </w:rPr>
              <w:t>Metric</w:t>
            </w:r>
          </w:p>
        </w:tc>
        <w:tc>
          <w:tcPr>
            <w:tcW w:w="198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305B0E6A" w14:textId="77777777" w:rsidR="00E7030C" w:rsidRDefault="00000000" w:rsidP="00E216C6">
            <w:pPr>
              <w:spacing w:line="204" w:lineRule="auto"/>
              <w:jc w:val="center"/>
            </w:pPr>
            <w:r>
              <w:rPr>
                <w:b/>
                <w:bCs/>
                <w:color w:val="FFFFFF"/>
                <w:sz w:val="18"/>
                <w:szCs w:val="18"/>
              </w:rPr>
              <w:t>Observed Value</w:t>
            </w:r>
          </w:p>
        </w:tc>
        <w:tc>
          <w:tcPr>
            <w:tcW w:w="474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3044D87F" w14:textId="77777777" w:rsidR="00E7030C" w:rsidRDefault="00000000" w:rsidP="00E216C6">
            <w:pPr>
              <w:spacing w:line="204" w:lineRule="auto"/>
            </w:pPr>
            <w:r>
              <w:rPr>
                <w:b/>
                <w:bCs/>
                <w:color w:val="FFFFFF"/>
                <w:sz w:val="18"/>
                <w:szCs w:val="18"/>
              </w:rPr>
              <w:t>Why It Matters</w:t>
            </w:r>
          </w:p>
        </w:tc>
      </w:tr>
      <w:tr w:rsidR="00E7030C" w14:paraId="4CADC202"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0E90CD16" w14:textId="77777777" w:rsidR="00E7030C" w:rsidRDefault="00000000" w:rsidP="00E216C6">
            <w:pPr>
              <w:spacing w:line="204" w:lineRule="auto"/>
            </w:pPr>
            <w:r>
              <w:rPr>
                <w:b/>
                <w:bCs/>
                <w:color w:val="222222"/>
                <w:sz w:val="18"/>
                <w:szCs w:val="18"/>
              </w:rPr>
              <w:t>NPA Percentage</w:t>
            </w:r>
          </w:p>
        </w:tc>
        <w:tc>
          <w:tcPr>
            <w:tcW w:w="19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64188C66" w14:textId="77777777" w:rsidR="00E7030C" w:rsidRDefault="00000000" w:rsidP="00E216C6">
            <w:pPr>
              <w:spacing w:line="204" w:lineRule="auto"/>
              <w:jc w:val="center"/>
            </w:pPr>
            <w:r>
              <w:rPr>
                <w:b/>
                <w:bCs/>
                <w:color w:val="C00000"/>
                <w:sz w:val="18"/>
                <w:szCs w:val="18"/>
              </w:rPr>
              <w:t>~6.0%</w:t>
            </w:r>
          </w:p>
        </w:tc>
        <w:tc>
          <w:tcPr>
            <w:tcW w:w="474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1CCF02DE" w14:textId="77777777" w:rsidR="00E7030C" w:rsidRDefault="00000000" w:rsidP="00E216C6">
            <w:pPr>
              <w:spacing w:line="204" w:lineRule="auto"/>
            </w:pPr>
            <w:r>
              <w:rPr>
                <w:color w:val="222222"/>
                <w:sz w:val="18"/>
                <w:szCs w:val="18"/>
              </w:rPr>
              <w:t>Industry sits at 3–4%. The bank is carrying roughly twice the acceptable NPA load.</w:t>
            </w:r>
          </w:p>
        </w:tc>
      </w:tr>
      <w:tr w:rsidR="00E7030C" w14:paraId="6DFFF50C" w14:textId="77777777">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40F8ABE1" w14:textId="77777777" w:rsidR="00E7030C" w:rsidRDefault="00000000" w:rsidP="00E216C6">
            <w:pPr>
              <w:spacing w:line="204" w:lineRule="auto"/>
            </w:pPr>
            <w:r>
              <w:rPr>
                <w:b/>
                <w:bCs/>
                <w:color w:val="222222"/>
                <w:sz w:val="18"/>
                <w:szCs w:val="18"/>
              </w:rPr>
              <w:t>Median CIBIL — Active Credit Card Holders</w:t>
            </w:r>
          </w:p>
        </w:tc>
        <w:tc>
          <w:tcPr>
            <w:tcW w:w="19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1EE6B8D2" w14:textId="77777777" w:rsidR="00E7030C" w:rsidRDefault="00000000" w:rsidP="00E216C6">
            <w:pPr>
              <w:spacing w:line="204" w:lineRule="auto"/>
              <w:jc w:val="center"/>
            </w:pPr>
            <w:r>
              <w:rPr>
                <w:b/>
                <w:bCs/>
                <w:color w:val="C00000"/>
                <w:sz w:val="18"/>
                <w:szCs w:val="18"/>
              </w:rPr>
              <w:t>603</w:t>
            </w:r>
          </w:p>
        </w:tc>
        <w:tc>
          <w:tcPr>
            <w:tcW w:w="474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144D2137" w14:textId="77777777" w:rsidR="00E7030C" w:rsidRDefault="00000000" w:rsidP="00E216C6">
            <w:pPr>
              <w:spacing w:line="204" w:lineRule="auto"/>
            </w:pPr>
            <w:r>
              <w:rPr>
                <w:color w:val="222222"/>
                <w:sz w:val="18"/>
                <w:szCs w:val="18"/>
              </w:rPr>
              <w:t>RBI prefers 650+ for unsecured products. Cards were issued to borrowers below that bar.</w:t>
            </w:r>
          </w:p>
        </w:tc>
      </w:tr>
      <w:tr w:rsidR="00E7030C" w14:paraId="0C2DEB79"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0F68C4CC" w14:textId="77777777" w:rsidR="00E7030C" w:rsidRDefault="00000000" w:rsidP="00E216C6">
            <w:pPr>
              <w:spacing w:line="204" w:lineRule="auto"/>
            </w:pPr>
            <w:r>
              <w:rPr>
                <w:b/>
                <w:bCs/>
                <w:color w:val="222222"/>
                <w:sz w:val="18"/>
                <w:szCs w:val="18"/>
              </w:rPr>
              <w:t>Female Account Holders</w:t>
            </w:r>
          </w:p>
        </w:tc>
        <w:tc>
          <w:tcPr>
            <w:tcW w:w="19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41528E44" w14:textId="77777777" w:rsidR="00E7030C" w:rsidRDefault="00000000" w:rsidP="00E216C6">
            <w:pPr>
              <w:spacing w:line="204" w:lineRule="auto"/>
              <w:jc w:val="center"/>
            </w:pPr>
            <w:r>
              <w:rPr>
                <w:b/>
                <w:bCs/>
                <w:color w:val="222222"/>
                <w:sz w:val="18"/>
                <w:szCs w:val="18"/>
              </w:rPr>
              <w:t>&gt;33%</w:t>
            </w:r>
          </w:p>
        </w:tc>
        <w:tc>
          <w:tcPr>
            <w:tcW w:w="474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17289D79" w14:textId="77777777" w:rsidR="00E7030C" w:rsidRDefault="00000000" w:rsidP="00E216C6">
            <w:pPr>
              <w:spacing w:line="204" w:lineRule="auto"/>
            </w:pPr>
            <w:r>
              <w:rPr>
                <w:color w:val="222222"/>
                <w:sz w:val="18"/>
                <w:szCs w:val="18"/>
              </w:rPr>
              <w:t>Over a third of the customer base with no dedicated product, no segment analytics.</w:t>
            </w:r>
          </w:p>
        </w:tc>
      </w:tr>
      <w:tr w:rsidR="00E7030C" w14:paraId="74F7F285" w14:textId="77777777">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58AF437E" w14:textId="77777777" w:rsidR="00E7030C" w:rsidRDefault="00000000" w:rsidP="00E216C6">
            <w:pPr>
              <w:spacing w:line="204" w:lineRule="auto"/>
            </w:pPr>
            <w:r>
              <w:rPr>
                <w:b/>
                <w:bCs/>
                <w:color w:val="222222"/>
                <w:sz w:val="18"/>
                <w:szCs w:val="18"/>
              </w:rPr>
              <w:t>High Priority Client Avg. Annual Income</w:t>
            </w:r>
          </w:p>
        </w:tc>
        <w:tc>
          <w:tcPr>
            <w:tcW w:w="19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56BD1E00" w14:textId="77777777" w:rsidR="00E7030C" w:rsidRDefault="00000000" w:rsidP="00E216C6">
            <w:pPr>
              <w:spacing w:line="204" w:lineRule="auto"/>
              <w:jc w:val="center"/>
            </w:pPr>
            <w:r>
              <w:rPr>
                <w:b/>
                <w:bCs/>
                <w:color w:val="222222"/>
                <w:sz w:val="18"/>
                <w:szCs w:val="18"/>
              </w:rPr>
              <w:t>&gt;INR 18L</w:t>
            </w:r>
          </w:p>
        </w:tc>
        <w:tc>
          <w:tcPr>
            <w:tcW w:w="474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3034CF0D" w14:textId="77777777" w:rsidR="00E7030C" w:rsidRDefault="00000000" w:rsidP="00E216C6">
            <w:pPr>
              <w:spacing w:line="204" w:lineRule="auto"/>
            </w:pPr>
            <w:r>
              <w:rPr>
                <w:color w:val="222222"/>
                <w:sz w:val="18"/>
                <w:szCs w:val="18"/>
              </w:rPr>
              <w:t>Wealth management segment with no tracked RM assignment. Investment tables were unused.</w:t>
            </w:r>
          </w:p>
        </w:tc>
      </w:tr>
      <w:tr w:rsidR="00E7030C" w14:paraId="1F4C810F"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671FDF7C" w14:textId="77777777" w:rsidR="00E7030C" w:rsidRDefault="00000000" w:rsidP="00E216C6">
            <w:pPr>
              <w:spacing w:line="204" w:lineRule="auto"/>
            </w:pPr>
            <w:r>
              <w:rPr>
                <w:b/>
                <w:bCs/>
                <w:color w:val="222222"/>
                <w:sz w:val="18"/>
                <w:szCs w:val="18"/>
              </w:rPr>
              <w:t xml:space="preserve">Clients Missing ≥3 Loan </w:t>
            </w:r>
            <w:proofErr w:type="spellStart"/>
            <w:r>
              <w:rPr>
                <w:b/>
                <w:bCs/>
                <w:color w:val="222222"/>
                <w:sz w:val="18"/>
                <w:szCs w:val="18"/>
              </w:rPr>
              <w:t>Installments</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4CCD8BF6" w14:textId="77777777" w:rsidR="00E7030C" w:rsidRDefault="00000000" w:rsidP="00E216C6">
            <w:pPr>
              <w:spacing w:line="204" w:lineRule="auto"/>
              <w:jc w:val="center"/>
            </w:pPr>
            <w:r>
              <w:rPr>
                <w:b/>
                <w:bCs/>
                <w:color w:val="222222"/>
                <w:sz w:val="18"/>
                <w:szCs w:val="18"/>
              </w:rPr>
              <w:t>Tracked as KPI</w:t>
            </w:r>
          </w:p>
        </w:tc>
        <w:tc>
          <w:tcPr>
            <w:tcW w:w="474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047F3623" w14:textId="77777777" w:rsidR="00E7030C" w:rsidRDefault="00000000" w:rsidP="00E216C6">
            <w:pPr>
              <w:spacing w:line="204" w:lineRule="auto"/>
            </w:pPr>
            <w:r>
              <w:rPr>
                <w:color w:val="222222"/>
                <w:sz w:val="18"/>
                <w:szCs w:val="18"/>
              </w:rPr>
              <w:t>Leading default signal — these accounts are heading toward NPA and can still be caught.</w:t>
            </w:r>
          </w:p>
        </w:tc>
      </w:tr>
      <w:tr w:rsidR="00E7030C" w14:paraId="778FCD50" w14:textId="77777777">
        <w:tc>
          <w:tcPr>
            <w:tcW w:w="33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54FFD398" w14:textId="77777777" w:rsidR="00E7030C" w:rsidRDefault="00000000" w:rsidP="00E216C6">
            <w:pPr>
              <w:spacing w:line="204" w:lineRule="auto"/>
            </w:pPr>
            <w:r>
              <w:rPr>
                <w:b/>
                <w:bCs/>
                <w:color w:val="222222"/>
                <w:sz w:val="18"/>
                <w:szCs w:val="18"/>
              </w:rPr>
              <w:t>Top Card Merchants</w:t>
            </w:r>
          </w:p>
        </w:tc>
        <w:tc>
          <w:tcPr>
            <w:tcW w:w="19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7565626E" w14:textId="77777777" w:rsidR="00E7030C" w:rsidRDefault="00000000" w:rsidP="00E216C6">
            <w:pPr>
              <w:spacing w:line="204" w:lineRule="auto"/>
            </w:pPr>
            <w:r>
              <w:rPr>
                <w:b/>
                <w:bCs/>
                <w:color w:val="222222"/>
                <w:sz w:val="18"/>
                <w:szCs w:val="18"/>
              </w:rPr>
              <w:t>Flipkart, Myntra, Amazon, Uber</w:t>
            </w:r>
          </w:p>
        </w:tc>
        <w:tc>
          <w:tcPr>
            <w:tcW w:w="474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4D7E0B99" w14:textId="77777777" w:rsidR="00E7030C" w:rsidRDefault="00000000" w:rsidP="00E216C6">
            <w:pPr>
              <w:spacing w:line="204" w:lineRule="auto"/>
            </w:pPr>
            <w:r>
              <w:rPr>
                <w:color w:val="222222"/>
                <w:sz w:val="18"/>
                <w:szCs w:val="18"/>
              </w:rPr>
              <w:t>Four platforms dominate card spend. No cashback or co-branding arrangement exists with any of them.</w:t>
            </w:r>
          </w:p>
        </w:tc>
      </w:tr>
      <w:tr w:rsidR="00E7030C" w14:paraId="7764FA98" w14:textId="77777777">
        <w:tc>
          <w:tcPr>
            <w:tcW w:w="33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62C46302" w14:textId="77777777" w:rsidR="00E7030C" w:rsidRDefault="00000000" w:rsidP="00E216C6">
            <w:pPr>
              <w:spacing w:line="204" w:lineRule="auto"/>
            </w:pPr>
            <w:r>
              <w:rPr>
                <w:b/>
                <w:bCs/>
                <w:color w:val="222222"/>
                <w:sz w:val="18"/>
                <w:szCs w:val="18"/>
              </w:rPr>
              <w:t>Tier-2 Potential Category Clients</w:t>
            </w:r>
          </w:p>
        </w:tc>
        <w:tc>
          <w:tcPr>
            <w:tcW w:w="19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231721C3" w14:textId="77777777" w:rsidR="00E7030C" w:rsidRDefault="00000000" w:rsidP="00E216C6">
            <w:pPr>
              <w:spacing w:line="204" w:lineRule="auto"/>
            </w:pPr>
            <w:r>
              <w:rPr>
                <w:b/>
                <w:bCs/>
                <w:color w:val="222222"/>
                <w:sz w:val="18"/>
                <w:szCs w:val="18"/>
              </w:rPr>
              <w:t>Lucknow, Ahmedabad, Jaipur, Gaya</w:t>
            </w:r>
          </w:p>
        </w:tc>
        <w:tc>
          <w:tcPr>
            <w:tcW w:w="474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49770E1B" w14:textId="77777777" w:rsidR="00E7030C" w:rsidRDefault="00000000" w:rsidP="00E216C6">
            <w:pPr>
              <w:spacing w:line="204" w:lineRule="auto"/>
            </w:pPr>
            <w:r>
              <w:rPr>
                <w:color w:val="222222"/>
                <w:sz w:val="18"/>
                <w:szCs w:val="18"/>
              </w:rPr>
              <w:t>Good CIBIL scores, under-serviced. No differentiated rate, product, or RM assigned.</w:t>
            </w:r>
          </w:p>
        </w:tc>
      </w:tr>
    </w:tbl>
    <w:p w14:paraId="77EEA2C9" w14:textId="77777777" w:rsidR="00E7030C" w:rsidRDefault="00E7030C" w:rsidP="00E216C6">
      <w:pPr>
        <w:spacing w:before="60" w:line="204" w:lineRule="auto"/>
      </w:pPr>
    </w:p>
    <w:p w14:paraId="18E7E5BE" w14:textId="77777777" w:rsidR="00E7030C" w:rsidRDefault="00000000" w:rsidP="00E216C6">
      <w:pPr>
        <w:pBdr>
          <w:bottom w:val="single" w:sz="5" w:space="1" w:color="2E75B6"/>
        </w:pBdr>
        <w:spacing w:before="220" w:after="50" w:line="204" w:lineRule="auto"/>
      </w:pPr>
      <w:r>
        <w:rPr>
          <w:b/>
          <w:bCs/>
          <w:caps/>
          <w:color w:val="1F4E79"/>
          <w:sz w:val="26"/>
          <w:szCs w:val="26"/>
        </w:rPr>
        <w:t>2. What Each Dashboard Page Shows</w:t>
      </w:r>
    </w:p>
    <w:p w14:paraId="13657315" w14:textId="77777777" w:rsidR="00E7030C" w:rsidRDefault="00000000" w:rsidP="00E216C6">
      <w:pPr>
        <w:spacing w:before="160" w:after="40" w:line="204" w:lineRule="auto"/>
      </w:pPr>
      <w:r>
        <w:rPr>
          <w:b/>
          <w:bCs/>
          <w:color w:val="2E75B6"/>
          <w:sz w:val="22"/>
          <w:szCs w:val="22"/>
        </w:rPr>
        <w:t>Page 1 — Average Client Income</w:t>
      </w:r>
    </w:p>
    <w:p w14:paraId="35FCA3ED" w14:textId="77777777" w:rsidR="00E7030C" w:rsidRDefault="00000000" w:rsidP="00E216C6">
      <w:pPr>
        <w:pStyle w:val="ListParagraph"/>
        <w:numPr>
          <w:ilvl w:val="0"/>
          <w:numId w:val="2"/>
        </w:numPr>
        <w:spacing w:before="28" w:after="28" w:line="204" w:lineRule="auto"/>
      </w:pPr>
      <w:r>
        <w:rPr>
          <w:color w:val="222222"/>
        </w:rPr>
        <w:t>Potential Category clients cluster in Tier-2 cities and carry above-average CIBIL scores. The income and risk band charts confirm this is a segment worth pursuing — the creditworthiness is there; the bank just hasn't moved on it.</w:t>
      </w:r>
    </w:p>
    <w:p w14:paraId="2E8E4980" w14:textId="15ED75F1" w:rsidR="00E7030C" w:rsidRDefault="00000000" w:rsidP="00C94EE8">
      <w:pPr>
        <w:pStyle w:val="ListParagraph"/>
        <w:numPr>
          <w:ilvl w:val="0"/>
          <w:numId w:val="2"/>
        </w:numPr>
        <w:spacing w:before="28" w:after="28" w:line="204" w:lineRule="auto"/>
      </w:pPr>
      <w:r>
        <w:rPr>
          <w:color w:val="222222"/>
        </w:rPr>
        <w:t>Income varies noticeably by education and marital status. Postgraduate, married clients sit at the higher end. These dimensions should be used when deciding product eligibility and credit limits — they're already in the data.</w:t>
      </w:r>
    </w:p>
    <w:p w14:paraId="23A66E78" w14:textId="77777777" w:rsidR="00E7030C" w:rsidRDefault="00000000" w:rsidP="00E216C6">
      <w:pPr>
        <w:spacing w:before="160" w:after="40" w:line="204" w:lineRule="auto"/>
      </w:pPr>
      <w:r>
        <w:rPr>
          <w:b/>
          <w:bCs/>
          <w:color w:val="2E75B6"/>
          <w:sz w:val="22"/>
          <w:szCs w:val="22"/>
        </w:rPr>
        <w:t>Page 2 — Loan Dashboard</w:t>
      </w:r>
    </w:p>
    <w:p w14:paraId="42E8C98F" w14:textId="77777777" w:rsidR="00E7030C" w:rsidRDefault="00000000" w:rsidP="00E216C6">
      <w:pPr>
        <w:pStyle w:val="ListParagraph"/>
        <w:numPr>
          <w:ilvl w:val="0"/>
          <w:numId w:val="2"/>
        </w:numPr>
        <w:spacing w:before="28" w:after="28" w:line="204" w:lineRule="auto"/>
      </w:pPr>
      <w:r>
        <w:rPr>
          <w:color w:val="222222"/>
        </w:rPr>
        <w:t>NPA at ~6% is the loudest number in the entire report. The loan status chart shows how the portfolio breaks down, and the risk band chart shows the problem is concentrated — a specific sub-set of borrowers, not a uniform deterioration.</w:t>
      </w:r>
    </w:p>
    <w:p w14:paraId="7789563A" w14:textId="77777777" w:rsidR="00E7030C" w:rsidRDefault="00000000" w:rsidP="00E216C6">
      <w:pPr>
        <w:pStyle w:val="ListParagraph"/>
        <w:numPr>
          <w:ilvl w:val="0"/>
          <w:numId w:val="2"/>
        </w:numPr>
        <w:spacing w:before="28" w:after="28" w:line="204" w:lineRule="auto"/>
      </w:pPr>
      <w:r>
        <w:rPr>
          <w:color w:val="222222"/>
        </w:rPr>
        <w:t xml:space="preserve">The count of clients missing ≥3 </w:t>
      </w:r>
      <w:proofErr w:type="spellStart"/>
      <w:r>
        <w:rPr>
          <w:color w:val="222222"/>
        </w:rPr>
        <w:t>installments</w:t>
      </w:r>
      <w:proofErr w:type="spellEnd"/>
      <w:r>
        <w:rPr>
          <w:color w:val="222222"/>
        </w:rPr>
        <w:t xml:space="preserve"> is more operationally useful than the NPA figure. These are accounts that can still be saved. The 90-day clock hasn't run out. Outreach at this stage changes the outcome.</w:t>
      </w:r>
    </w:p>
    <w:p w14:paraId="6ABDE2C2" w14:textId="77777777" w:rsidR="00E7030C" w:rsidRDefault="00000000" w:rsidP="00E216C6">
      <w:pPr>
        <w:pStyle w:val="ListParagraph"/>
        <w:numPr>
          <w:ilvl w:val="0"/>
          <w:numId w:val="2"/>
        </w:numPr>
        <w:spacing w:before="28" w:after="28" w:line="204" w:lineRule="auto"/>
      </w:pPr>
      <w:r>
        <w:rPr>
          <w:color w:val="222222"/>
        </w:rPr>
        <w:t xml:space="preserve">Medium and </w:t>
      </w:r>
      <w:proofErr w:type="gramStart"/>
      <w:r>
        <w:rPr>
          <w:color w:val="222222"/>
        </w:rPr>
        <w:t>High risk</w:t>
      </w:r>
      <w:proofErr w:type="gramEnd"/>
      <w:r>
        <w:rPr>
          <w:color w:val="222222"/>
        </w:rPr>
        <w:t xml:space="preserve"> bands make up a larger share of active loans than they should. That points to origination — the approval process was not filtering tightly enough on CIBIL and income-to-EMI at the time these loans were written.</w:t>
      </w:r>
    </w:p>
    <w:p w14:paraId="11B117B4" w14:textId="77777777" w:rsidR="00E7030C" w:rsidRDefault="00000000" w:rsidP="00E216C6">
      <w:pPr>
        <w:spacing w:before="160" w:after="40" w:line="204" w:lineRule="auto"/>
      </w:pPr>
      <w:r>
        <w:rPr>
          <w:b/>
          <w:bCs/>
          <w:color w:val="2E75B6"/>
          <w:sz w:val="22"/>
          <w:szCs w:val="22"/>
        </w:rPr>
        <w:t>Page 3 — Top Performing Branches</w:t>
      </w:r>
    </w:p>
    <w:p w14:paraId="51E70518" w14:textId="77777777" w:rsidR="00E7030C" w:rsidRDefault="00000000" w:rsidP="00E216C6">
      <w:pPr>
        <w:pStyle w:val="ListParagraph"/>
        <w:numPr>
          <w:ilvl w:val="0"/>
          <w:numId w:val="2"/>
        </w:numPr>
        <w:spacing w:before="28" w:after="28" w:line="204" w:lineRule="auto"/>
      </w:pPr>
      <w:r>
        <w:rPr>
          <w:color w:val="222222"/>
        </w:rPr>
        <w:t>AUM is heavily concentrated in a handful of branches. The bottom third of the branch list contributes a disproportionately small share. The question is whether that reflects market opportunity differences or RM execution gaps — and the RM AUM chart on the same page suggests it's partly the latter.</w:t>
      </w:r>
    </w:p>
    <w:p w14:paraId="797D5239" w14:textId="6946DD14" w:rsidR="00E7030C" w:rsidRDefault="00000000" w:rsidP="00C94EE8">
      <w:pPr>
        <w:pStyle w:val="ListParagraph"/>
        <w:numPr>
          <w:ilvl w:val="0"/>
          <w:numId w:val="2"/>
        </w:numPr>
        <w:spacing w:before="28" w:after="28" w:line="204" w:lineRule="auto"/>
      </w:pPr>
      <w:r>
        <w:rPr>
          <w:color w:val="222222"/>
        </w:rPr>
        <w:t>The credit card count by branch chart shows branches with large account bases and low card issuance. That is not a market problem — those customers already bank here. It's a cross-sell gap that an RM conversation or a branch-level campaign can close.</w:t>
      </w:r>
    </w:p>
    <w:p w14:paraId="57C83B6F" w14:textId="77777777" w:rsidR="00E7030C" w:rsidRDefault="00000000" w:rsidP="00E216C6">
      <w:pPr>
        <w:spacing w:before="160" w:after="40" w:line="204" w:lineRule="auto"/>
      </w:pPr>
      <w:r>
        <w:rPr>
          <w:b/>
          <w:bCs/>
          <w:color w:val="2E75B6"/>
          <w:sz w:val="22"/>
          <w:szCs w:val="22"/>
        </w:rPr>
        <w:t>Page 4 — Credit Card &amp; Transaction Analysis</w:t>
      </w:r>
    </w:p>
    <w:p w14:paraId="379CEC5D" w14:textId="77777777" w:rsidR="00E7030C" w:rsidRDefault="00000000" w:rsidP="00E216C6">
      <w:pPr>
        <w:pStyle w:val="ListParagraph"/>
        <w:numPr>
          <w:ilvl w:val="0"/>
          <w:numId w:val="2"/>
        </w:numPr>
        <w:spacing w:before="28" w:after="28" w:line="204" w:lineRule="auto"/>
      </w:pPr>
      <w:r>
        <w:rPr>
          <w:color w:val="222222"/>
        </w:rPr>
        <w:t xml:space="preserve">Median CIBIL of 603 across active cardholders is a credit quality problem sitting in plain sight. Credit cards are unsecured — there's no collateral if these </w:t>
      </w:r>
      <w:proofErr w:type="gramStart"/>
      <w:r>
        <w:rPr>
          <w:color w:val="222222"/>
        </w:rPr>
        <w:t>borrowers</w:t>
      </w:r>
      <w:proofErr w:type="gramEnd"/>
      <w:r>
        <w:rPr>
          <w:color w:val="222222"/>
        </w:rPr>
        <w:t xml:space="preserve"> default. The portfolio needs a floor enforced going forward and an audit of the existing book.</w:t>
      </w:r>
    </w:p>
    <w:p w14:paraId="1A2479DD" w14:textId="77777777" w:rsidR="00E7030C" w:rsidRDefault="00000000" w:rsidP="00E216C6">
      <w:pPr>
        <w:pStyle w:val="ListParagraph"/>
        <w:numPr>
          <w:ilvl w:val="0"/>
          <w:numId w:val="2"/>
        </w:numPr>
        <w:spacing w:before="28" w:after="28" w:line="204" w:lineRule="auto"/>
      </w:pPr>
      <w:r>
        <w:rPr>
          <w:color w:val="222222"/>
        </w:rPr>
        <w:t>Flipkart, Myntra, Amazon, and Uber account for the bulk of card spend. Every rupee spent on these platforms is an interchange event. A cashback arrangement with even two of these merchants would measurably increase spend frequency and card retention without requiring new customer acquisition.</w:t>
      </w:r>
    </w:p>
    <w:p w14:paraId="0463D11B" w14:textId="77777777" w:rsidR="00E7030C" w:rsidRDefault="00000000" w:rsidP="00E216C6">
      <w:pPr>
        <w:pStyle w:val="ListParagraph"/>
        <w:numPr>
          <w:ilvl w:val="0"/>
          <w:numId w:val="2"/>
        </w:numPr>
        <w:spacing w:before="28" w:after="28" w:line="204" w:lineRule="auto"/>
      </w:pPr>
      <w:r>
        <w:rPr>
          <w:color w:val="222222"/>
        </w:rPr>
        <w:t>The channel chart is a static slice — Mobile, Net Banking, Branch, and ATM volumes at a point in time. Without a month-wise view, nobody can say whether digital adoption is accelerating or stalling. That data is in the Transactions table; it just hasn't been put on a chart.</w:t>
      </w:r>
    </w:p>
    <w:p w14:paraId="0459A6AB" w14:textId="77777777" w:rsidR="00E7030C" w:rsidRDefault="00000000" w:rsidP="00E216C6">
      <w:pPr>
        <w:spacing w:before="160" w:after="40" w:line="204" w:lineRule="auto"/>
      </w:pPr>
      <w:r>
        <w:rPr>
          <w:b/>
          <w:bCs/>
          <w:color w:val="2E75B6"/>
          <w:sz w:val="22"/>
          <w:szCs w:val="22"/>
        </w:rPr>
        <w:lastRenderedPageBreak/>
        <w:t xml:space="preserve">Page 5 — Investment </w:t>
      </w:r>
      <w:proofErr w:type="gramStart"/>
      <w:r>
        <w:rPr>
          <w:b/>
          <w:bCs/>
          <w:color w:val="2E75B6"/>
          <w:sz w:val="22"/>
          <w:szCs w:val="22"/>
        </w:rPr>
        <w:t>Overview  (</w:t>
      </w:r>
      <w:proofErr w:type="gramEnd"/>
      <w:r>
        <w:rPr>
          <w:b/>
          <w:bCs/>
          <w:color w:val="2E75B6"/>
          <w:sz w:val="22"/>
          <w:szCs w:val="22"/>
        </w:rPr>
        <w:t>Built during this project — previously unused)</w:t>
      </w:r>
    </w:p>
    <w:p w14:paraId="7E5BA7E3" w14:textId="77777777" w:rsidR="00E7030C" w:rsidRDefault="00000000" w:rsidP="00E216C6">
      <w:pPr>
        <w:pStyle w:val="ListParagraph"/>
        <w:numPr>
          <w:ilvl w:val="0"/>
          <w:numId w:val="2"/>
        </w:numPr>
        <w:spacing w:before="28" w:after="28" w:line="204" w:lineRule="auto"/>
      </w:pPr>
      <w:r>
        <w:rPr>
          <w:color w:val="222222"/>
        </w:rPr>
        <w:t>The Investments and Investment Transactions tables had never been connected to a report page before this engagement. Page 5 is the first time the bank has a visual on AUM by investment type, by RM, and by city — all in one place.</w:t>
      </w:r>
    </w:p>
    <w:p w14:paraId="1D44B165" w14:textId="77777777" w:rsidR="00E7030C" w:rsidRDefault="00000000" w:rsidP="00E216C6">
      <w:pPr>
        <w:pStyle w:val="ListParagraph"/>
        <w:numPr>
          <w:ilvl w:val="0"/>
          <w:numId w:val="2"/>
        </w:numPr>
        <w:spacing w:before="28" w:after="28" w:line="204" w:lineRule="auto"/>
      </w:pPr>
      <w:r>
        <w:rPr>
          <w:color w:val="222222"/>
        </w:rPr>
        <w:t>RM-level AUM variance is visible here for the first time. Some RMs are managing several times the AUM of their peers. Whether that's a client allocation issue or a performance gap, the data now shows it and management can act on it.</w:t>
      </w:r>
    </w:p>
    <w:p w14:paraId="6F5621F7" w14:textId="77777777" w:rsidR="00E7030C" w:rsidRDefault="00000000" w:rsidP="00E216C6">
      <w:pPr>
        <w:pStyle w:val="ListParagraph"/>
        <w:numPr>
          <w:ilvl w:val="0"/>
          <w:numId w:val="2"/>
        </w:numPr>
        <w:spacing w:before="28" w:after="28" w:line="204" w:lineRule="auto"/>
      </w:pPr>
      <w:r>
        <w:rPr>
          <w:color w:val="222222"/>
        </w:rPr>
        <w:t>Investment status distribution — active versus redeemed — and investment type mix give the CFO the portfolio composition view that a one-line AUM total never could. AUM YoY Growth % on the KPI card sets the baseline for RM target-setting going forward.</w:t>
      </w:r>
    </w:p>
    <w:p w14:paraId="5661FC5C" w14:textId="77777777" w:rsidR="00E7030C" w:rsidRDefault="00E7030C" w:rsidP="00E216C6">
      <w:pPr>
        <w:spacing w:before="60" w:line="204" w:lineRule="auto"/>
      </w:pPr>
    </w:p>
    <w:p w14:paraId="081B4A8A" w14:textId="77777777" w:rsidR="00E7030C" w:rsidRDefault="00000000" w:rsidP="00E216C6">
      <w:pPr>
        <w:pBdr>
          <w:bottom w:val="single" w:sz="5" w:space="1" w:color="2E75B6"/>
        </w:pBdr>
        <w:spacing w:before="220" w:after="50" w:line="204" w:lineRule="auto"/>
      </w:pPr>
      <w:r>
        <w:rPr>
          <w:b/>
          <w:bCs/>
          <w:caps/>
          <w:color w:val="1F4E79"/>
          <w:sz w:val="26"/>
          <w:szCs w:val="26"/>
        </w:rPr>
        <w:t>3. Recommendations</w:t>
      </w:r>
    </w:p>
    <w:p w14:paraId="1A073FF1" w14:textId="77777777" w:rsidR="00E7030C" w:rsidRDefault="00000000" w:rsidP="00E216C6">
      <w:pPr>
        <w:spacing w:before="160" w:after="40" w:line="204" w:lineRule="auto"/>
      </w:pPr>
      <w:r>
        <w:rPr>
          <w:b/>
          <w:bCs/>
          <w:color w:val="2E75B6"/>
          <w:sz w:val="22"/>
          <w:szCs w:val="22"/>
        </w:rPr>
        <w:t>Customer Segmentation</w:t>
      </w:r>
    </w:p>
    <w:p w14:paraId="232CAFAF" w14:textId="77777777" w:rsidR="00E7030C" w:rsidRDefault="00000000" w:rsidP="00E216C6">
      <w:pPr>
        <w:spacing w:before="100" w:after="20" w:line="204" w:lineRule="auto"/>
      </w:pPr>
      <w:r>
        <w:rPr>
          <w:b/>
          <w:bCs/>
          <w:color w:val="111111"/>
        </w:rPr>
        <w:t>Rec 1 — Tier-2 Client Engagement</w:t>
      </w:r>
    </w:p>
    <w:p w14:paraId="045C89B8" w14:textId="1B3958CA" w:rsidR="00E7030C" w:rsidRDefault="00000000" w:rsidP="00E216C6">
      <w:pPr>
        <w:pStyle w:val="ListParagraph"/>
        <w:numPr>
          <w:ilvl w:val="0"/>
          <w:numId w:val="2"/>
        </w:numPr>
        <w:spacing w:before="28" w:after="28" w:line="204" w:lineRule="auto"/>
      </w:pPr>
      <w:r>
        <w:rPr>
          <w:b/>
          <w:bCs/>
          <w:color w:val="1F4E79"/>
        </w:rPr>
        <w:t>Problem</w:t>
      </w:r>
      <w:r w:rsidR="00E216C6">
        <w:rPr>
          <w:b/>
          <w:bCs/>
          <w:color w:val="1F4E79"/>
        </w:rPr>
        <w:t>:</w:t>
      </w:r>
      <w:r>
        <w:rPr>
          <w:b/>
          <w:bCs/>
          <w:color w:val="1F4E79"/>
        </w:rPr>
        <w:t xml:space="preserve">  </w:t>
      </w:r>
      <w:r>
        <w:rPr>
          <w:color w:val="222222"/>
        </w:rPr>
        <w:t>Potential Category clients in Lucknow, Ahmedabad, Jaipur, and Gaya have the credit scores but are getting no differentiated attention.</w:t>
      </w:r>
    </w:p>
    <w:p w14:paraId="6D1C13B6" w14:textId="02100492" w:rsidR="00E7030C" w:rsidRDefault="00000000" w:rsidP="00E216C6">
      <w:pPr>
        <w:pStyle w:val="ListParagraph"/>
        <w:numPr>
          <w:ilvl w:val="0"/>
          <w:numId w:val="2"/>
        </w:numPr>
        <w:spacing w:before="28" w:after="28" w:line="204" w:lineRule="auto"/>
      </w:pPr>
      <w:proofErr w:type="gramStart"/>
      <w:r>
        <w:rPr>
          <w:b/>
          <w:bCs/>
          <w:color w:val="1F4E79"/>
        </w:rPr>
        <w:t xml:space="preserve">Actions </w:t>
      </w:r>
      <w:r w:rsidR="00E216C6">
        <w:rPr>
          <w:b/>
          <w:bCs/>
          <w:color w:val="1F4E79"/>
        </w:rPr>
        <w:t>:</w:t>
      </w:r>
      <w:proofErr w:type="gramEnd"/>
      <w:r>
        <w:rPr>
          <w:b/>
          <w:bCs/>
          <w:color w:val="1F4E79"/>
        </w:rPr>
        <w:t xml:space="preserve"> </w:t>
      </w:r>
      <w:r>
        <w:rPr>
          <w:color w:val="222222"/>
        </w:rPr>
        <w:t>City-specific cashback on established local merchants. Deposit rates 15–25 bps above standard for CIBIL scores above 700. On-ground RM in each priority city. Start with the two cities showing the highest average account balances.</w:t>
      </w:r>
    </w:p>
    <w:p w14:paraId="692D0BF9" w14:textId="3B8BF795" w:rsidR="00E7030C" w:rsidRDefault="00000000" w:rsidP="00E216C6">
      <w:pPr>
        <w:pStyle w:val="ListParagraph"/>
        <w:numPr>
          <w:ilvl w:val="0"/>
          <w:numId w:val="2"/>
        </w:numPr>
        <w:spacing w:before="28" w:after="28" w:line="204" w:lineRule="auto"/>
      </w:pPr>
      <w:r>
        <w:rPr>
          <w:b/>
          <w:bCs/>
          <w:color w:val="1F4E79"/>
        </w:rPr>
        <w:t>Expected outcome</w:t>
      </w:r>
      <w:r w:rsidR="00E216C6">
        <w:rPr>
          <w:b/>
          <w:bCs/>
          <w:color w:val="1F4E79"/>
        </w:rPr>
        <w:t>:</w:t>
      </w:r>
      <w:r>
        <w:rPr>
          <w:b/>
          <w:bCs/>
          <w:color w:val="1F4E79"/>
        </w:rPr>
        <w:t xml:space="preserve">  </w:t>
      </w:r>
      <w:r>
        <w:rPr>
          <w:color w:val="222222"/>
        </w:rPr>
        <w:t>AUM in Tier-2 branches up 15–20% within 6 months. Credit card cross-sell rate in target cities up 8–12%.</w:t>
      </w:r>
    </w:p>
    <w:p w14:paraId="00314E2A" w14:textId="03A5DEDC" w:rsidR="00E7030C" w:rsidRDefault="00000000" w:rsidP="00E216C6">
      <w:pPr>
        <w:pStyle w:val="ListParagraph"/>
        <w:numPr>
          <w:ilvl w:val="0"/>
          <w:numId w:val="2"/>
        </w:numPr>
        <w:spacing w:before="28" w:after="28" w:line="204" w:lineRule="auto"/>
      </w:pPr>
      <w:r>
        <w:rPr>
          <w:b/>
          <w:bCs/>
          <w:color w:val="1F4E79"/>
        </w:rPr>
        <w:t>KPI</w:t>
      </w:r>
      <w:r w:rsidR="00E216C6">
        <w:rPr>
          <w:b/>
          <w:bCs/>
          <w:color w:val="1F4E79"/>
        </w:rPr>
        <w:t>:</w:t>
      </w:r>
      <w:r>
        <w:rPr>
          <w:b/>
          <w:bCs/>
          <w:color w:val="1F4E79"/>
        </w:rPr>
        <w:t xml:space="preserve">  </w:t>
      </w:r>
      <w:r>
        <w:rPr>
          <w:color w:val="222222"/>
        </w:rPr>
        <w:t>AUM by city (Tier-2 cut), card penetration rate in target cities, YoY account opening growth.</w:t>
      </w:r>
    </w:p>
    <w:p w14:paraId="7E905AA6" w14:textId="0D634C3B" w:rsidR="00E7030C" w:rsidRDefault="00000000" w:rsidP="00E216C6">
      <w:pPr>
        <w:pStyle w:val="ListParagraph"/>
        <w:numPr>
          <w:ilvl w:val="0"/>
          <w:numId w:val="2"/>
        </w:numPr>
        <w:spacing w:before="28" w:after="28" w:line="204" w:lineRule="auto"/>
      </w:pPr>
      <w:r>
        <w:rPr>
          <w:b/>
          <w:bCs/>
          <w:color w:val="1F4E79"/>
        </w:rPr>
        <w:t>Watch out for</w:t>
      </w:r>
      <w:r w:rsidR="00E216C6">
        <w:rPr>
          <w:b/>
          <w:bCs/>
          <w:color w:val="1F4E79"/>
        </w:rPr>
        <w:t>:</w:t>
      </w:r>
      <w:r>
        <w:rPr>
          <w:b/>
          <w:bCs/>
          <w:color w:val="1F4E79"/>
        </w:rPr>
        <w:t xml:space="preserve">  </w:t>
      </w:r>
      <w:r>
        <w:rPr>
          <w:color w:val="222222"/>
        </w:rPr>
        <w:t>RM deployment takes time. Run digital outreach — WhatsApp, app notifications — in parallel while physical coverage is being set up.</w:t>
      </w:r>
    </w:p>
    <w:p w14:paraId="02F297C2" w14:textId="77777777" w:rsidR="00E7030C" w:rsidRDefault="00E7030C" w:rsidP="00E216C6">
      <w:pPr>
        <w:spacing w:before="40" w:line="204" w:lineRule="auto"/>
      </w:pPr>
    </w:p>
    <w:p w14:paraId="2FB49C4F" w14:textId="77777777" w:rsidR="00E7030C" w:rsidRDefault="00000000" w:rsidP="00E216C6">
      <w:pPr>
        <w:spacing w:before="100" w:after="20" w:line="204" w:lineRule="auto"/>
      </w:pPr>
      <w:r>
        <w:rPr>
          <w:b/>
          <w:bCs/>
          <w:color w:val="111111"/>
        </w:rPr>
        <w:t>Rec 2 — RM Assignment for High Priority Clients</w:t>
      </w:r>
    </w:p>
    <w:p w14:paraId="3EDD4A55" w14:textId="77777777" w:rsidR="00E7030C" w:rsidRDefault="00000000" w:rsidP="00E216C6">
      <w:pPr>
        <w:pStyle w:val="ListParagraph"/>
        <w:numPr>
          <w:ilvl w:val="0"/>
          <w:numId w:val="2"/>
        </w:numPr>
        <w:spacing w:before="28" w:after="28" w:line="204" w:lineRule="auto"/>
      </w:pPr>
      <w:proofErr w:type="gramStart"/>
      <w:r>
        <w:rPr>
          <w:b/>
          <w:bCs/>
          <w:color w:val="1F4E79"/>
        </w:rPr>
        <w:t xml:space="preserve">Problem  </w:t>
      </w:r>
      <w:r>
        <w:rPr>
          <w:color w:val="222222"/>
        </w:rPr>
        <w:t>High</w:t>
      </w:r>
      <w:proofErr w:type="gramEnd"/>
      <w:r>
        <w:rPr>
          <w:color w:val="222222"/>
        </w:rPr>
        <w:t xml:space="preserve"> Priority clients earn above INR 18L a year. The bank has never tracked whether they have a named RM or what products they hold.</w:t>
      </w:r>
    </w:p>
    <w:p w14:paraId="4A79823C" w14:textId="77777777" w:rsidR="00E7030C" w:rsidRDefault="00000000" w:rsidP="00E216C6">
      <w:pPr>
        <w:pStyle w:val="ListParagraph"/>
        <w:numPr>
          <w:ilvl w:val="0"/>
          <w:numId w:val="2"/>
        </w:numPr>
        <w:spacing w:before="28" w:after="28" w:line="204" w:lineRule="auto"/>
      </w:pPr>
      <w:proofErr w:type="gramStart"/>
      <w:r>
        <w:rPr>
          <w:b/>
          <w:bCs/>
          <w:color w:val="1F4E79"/>
        </w:rPr>
        <w:t xml:space="preserve">Actions  </w:t>
      </w:r>
      <w:r>
        <w:rPr>
          <w:color w:val="222222"/>
        </w:rPr>
        <w:t>Assign</w:t>
      </w:r>
      <w:proofErr w:type="gramEnd"/>
      <w:r>
        <w:rPr>
          <w:color w:val="222222"/>
        </w:rPr>
        <w:t xml:space="preserve"> a dedicated RM to every High Priority client. Cap the ratio at 1 RM per 50 clients. Give each RM a structured first-meeting framework covering investment horizon, risk appetite, and liquidity needs. Products to lead with: SIPs, PMS, government bonds. Set RM-level AUM targets tracked quarterly through Page 5.</w:t>
      </w:r>
    </w:p>
    <w:p w14:paraId="32860C18" w14:textId="77777777" w:rsidR="00E7030C" w:rsidRDefault="00000000" w:rsidP="00E216C6">
      <w:pPr>
        <w:pStyle w:val="ListParagraph"/>
        <w:numPr>
          <w:ilvl w:val="0"/>
          <w:numId w:val="2"/>
        </w:numPr>
        <w:spacing w:before="28" w:after="28" w:line="204" w:lineRule="auto"/>
      </w:pPr>
      <w:r>
        <w:rPr>
          <w:b/>
          <w:bCs/>
          <w:color w:val="1F4E79"/>
        </w:rPr>
        <w:t xml:space="preserve">Expected </w:t>
      </w:r>
      <w:proofErr w:type="gramStart"/>
      <w:r>
        <w:rPr>
          <w:b/>
          <w:bCs/>
          <w:color w:val="1F4E79"/>
        </w:rPr>
        <w:t xml:space="preserve">outcome  </w:t>
      </w:r>
      <w:r>
        <w:rPr>
          <w:color w:val="222222"/>
        </w:rPr>
        <w:t>INR</w:t>
      </w:r>
      <w:proofErr w:type="gramEnd"/>
      <w:r>
        <w:rPr>
          <w:color w:val="222222"/>
        </w:rPr>
        <w:t xml:space="preserve"> 50–80 Cr AUM growth per 1,000 clients covered within 12 months. INR 2–3 Cr in fee income annually once at scale.</w:t>
      </w:r>
    </w:p>
    <w:p w14:paraId="5B8AB575" w14:textId="77777777" w:rsidR="00E7030C" w:rsidRDefault="00000000" w:rsidP="00E216C6">
      <w:pPr>
        <w:pStyle w:val="ListParagraph"/>
        <w:numPr>
          <w:ilvl w:val="0"/>
          <w:numId w:val="2"/>
        </w:numPr>
        <w:spacing w:before="28" w:after="28" w:line="204" w:lineRule="auto"/>
      </w:pPr>
      <w:proofErr w:type="gramStart"/>
      <w:r>
        <w:rPr>
          <w:b/>
          <w:bCs/>
          <w:color w:val="1F4E79"/>
        </w:rPr>
        <w:t xml:space="preserve">KPI  </w:t>
      </w:r>
      <w:r>
        <w:rPr>
          <w:color w:val="222222"/>
        </w:rPr>
        <w:t>RM</w:t>
      </w:r>
      <w:proofErr w:type="gramEnd"/>
      <w:r>
        <w:rPr>
          <w:color w:val="222222"/>
        </w:rPr>
        <w:t xml:space="preserve"> coverage ratio (High Priority), AUM YoY Growth %, products per High Priority client.</w:t>
      </w:r>
    </w:p>
    <w:p w14:paraId="736020F1" w14:textId="77777777" w:rsidR="00E7030C" w:rsidRDefault="00000000" w:rsidP="00E216C6">
      <w:pPr>
        <w:pStyle w:val="ListParagraph"/>
        <w:numPr>
          <w:ilvl w:val="0"/>
          <w:numId w:val="2"/>
        </w:numPr>
        <w:spacing w:before="28" w:after="28" w:line="204" w:lineRule="auto"/>
      </w:pPr>
      <w:r>
        <w:rPr>
          <w:b/>
          <w:bCs/>
          <w:color w:val="1F4E79"/>
        </w:rPr>
        <w:t xml:space="preserve">Watch out </w:t>
      </w:r>
      <w:proofErr w:type="gramStart"/>
      <w:r>
        <w:rPr>
          <w:b/>
          <w:bCs/>
          <w:color w:val="1F4E79"/>
        </w:rPr>
        <w:t xml:space="preserve">for  </w:t>
      </w:r>
      <w:r>
        <w:rPr>
          <w:color w:val="222222"/>
        </w:rPr>
        <w:t>Need</w:t>
      </w:r>
      <w:proofErr w:type="gramEnd"/>
      <w:r>
        <w:rPr>
          <w:color w:val="222222"/>
        </w:rPr>
        <w:t xml:space="preserve"> a way to track RM assignment in the dashboard or CRM. If the data doesn't exist, the metric can't be monitored.</w:t>
      </w:r>
    </w:p>
    <w:p w14:paraId="49DCBCC7" w14:textId="77777777" w:rsidR="00E7030C" w:rsidRDefault="00E7030C" w:rsidP="00E216C6">
      <w:pPr>
        <w:spacing w:before="40" w:line="204" w:lineRule="auto"/>
      </w:pPr>
    </w:p>
    <w:p w14:paraId="3443089E" w14:textId="77777777" w:rsidR="00E7030C" w:rsidRDefault="00000000" w:rsidP="00E216C6">
      <w:pPr>
        <w:spacing w:before="160" w:after="40" w:line="204" w:lineRule="auto"/>
      </w:pPr>
      <w:r>
        <w:rPr>
          <w:b/>
          <w:bCs/>
          <w:color w:val="2E75B6"/>
          <w:sz w:val="22"/>
          <w:szCs w:val="22"/>
        </w:rPr>
        <w:t>Gender-Inclusive Banking</w:t>
      </w:r>
    </w:p>
    <w:p w14:paraId="0AAE6593" w14:textId="77777777" w:rsidR="00E7030C" w:rsidRDefault="00000000" w:rsidP="00E216C6">
      <w:pPr>
        <w:spacing w:before="100" w:after="20" w:line="204" w:lineRule="auto"/>
      </w:pPr>
      <w:r>
        <w:rPr>
          <w:b/>
          <w:bCs/>
          <w:color w:val="111111"/>
        </w:rPr>
        <w:t>Rec 3 — Women-First Product Suite</w:t>
      </w:r>
    </w:p>
    <w:p w14:paraId="5F7B7983" w14:textId="77777777" w:rsidR="00E7030C" w:rsidRDefault="00000000" w:rsidP="00E216C6">
      <w:pPr>
        <w:pStyle w:val="ListParagraph"/>
        <w:numPr>
          <w:ilvl w:val="0"/>
          <w:numId w:val="2"/>
        </w:numPr>
        <w:spacing w:before="28" w:after="28" w:line="204" w:lineRule="auto"/>
      </w:pPr>
      <w:proofErr w:type="gramStart"/>
      <w:r>
        <w:rPr>
          <w:b/>
          <w:bCs/>
          <w:color w:val="1F4E79"/>
        </w:rPr>
        <w:t xml:space="preserve">Problem  </w:t>
      </w:r>
      <w:r>
        <w:rPr>
          <w:color w:val="222222"/>
        </w:rPr>
        <w:t>Women</w:t>
      </w:r>
      <w:proofErr w:type="gramEnd"/>
      <w:r>
        <w:rPr>
          <w:color w:val="222222"/>
        </w:rPr>
        <w:t xml:space="preserve"> hold over a third of all accounts. There is nothing built specifically for them — no product, no rate, no analytics view of how they actually behave.</w:t>
      </w:r>
    </w:p>
    <w:p w14:paraId="1EF190E0" w14:textId="77777777" w:rsidR="00E7030C" w:rsidRDefault="00000000" w:rsidP="00E216C6">
      <w:pPr>
        <w:pStyle w:val="ListParagraph"/>
        <w:numPr>
          <w:ilvl w:val="0"/>
          <w:numId w:val="2"/>
        </w:numPr>
        <w:spacing w:before="28" w:after="28" w:line="204" w:lineRule="auto"/>
      </w:pPr>
      <w:proofErr w:type="gramStart"/>
      <w:r>
        <w:rPr>
          <w:b/>
          <w:bCs/>
          <w:color w:val="1F4E79"/>
        </w:rPr>
        <w:t xml:space="preserve">Actions  </w:t>
      </w:r>
      <w:r>
        <w:rPr>
          <w:color w:val="222222"/>
        </w:rPr>
        <w:t>Savings</w:t>
      </w:r>
      <w:proofErr w:type="gramEnd"/>
      <w:r>
        <w:rPr>
          <w:color w:val="222222"/>
        </w:rPr>
        <w:t xml:space="preserve"> scheme: enhanced rate (25–50 bps above standard), zero minimum balance. Women Entrepreneur Loan: simplified documentation, 7-day disbursement SLA, capped processing fees. Quarterly financial literacy sessions in the cities with the highest female account density. Add gender × city income chart to Page 1 so the segment can be tracked properly.</w:t>
      </w:r>
    </w:p>
    <w:p w14:paraId="344FA5A3" w14:textId="77777777" w:rsidR="00E7030C" w:rsidRDefault="00000000" w:rsidP="00E216C6">
      <w:pPr>
        <w:pStyle w:val="ListParagraph"/>
        <w:numPr>
          <w:ilvl w:val="0"/>
          <w:numId w:val="2"/>
        </w:numPr>
        <w:spacing w:before="28" w:after="28" w:line="204" w:lineRule="auto"/>
      </w:pPr>
      <w:r>
        <w:rPr>
          <w:b/>
          <w:bCs/>
          <w:color w:val="1F4E79"/>
        </w:rPr>
        <w:t xml:space="preserve">Expected </w:t>
      </w:r>
      <w:proofErr w:type="gramStart"/>
      <w:r>
        <w:rPr>
          <w:b/>
          <w:bCs/>
          <w:color w:val="1F4E79"/>
        </w:rPr>
        <w:t xml:space="preserve">outcome  </w:t>
      </w:r>
      <w:r>
        <w:rPr>
          <w:color w:val="222222"/>
        </w:rPr>
        <w:t>Female</w:t>
      </w:r>
      <w:proofErr w:type="gramEnd"/>
      <w:r>
        <w:rPr>
          <w:color w:val="222222"/>
        </w:rPr>
        <w:t xml:space="preserve"> client deposit balances up 10–15% within 2 quarters. 500–800 Women Entrepreneur Loan disbursements in year 1.</w:t>
      </w:r>
    </w:p>
    <w:p w14:paraId="6E9223E5" w14:textId="77777777" w:rsidR="00E7030C" w:rsidRDefault="00000000" w:rsidP="00E216C6">
      <w:pPr>
        <w:pStyle w:val="ListParagraph"/>
        <w:numPr>
          <w:ilvl w:val="0"/>
          <w:numId w:val="2"/>
        </w:numPr>
        <w:spacing w:before="28" w:after="28" w:line="204" w:lineRule="auto"/>
      </w:pPr>
      <w:proofErr w:type="gramStart"/>
      <w:r>
        <w:rPr>
          <w:b/>
          <w:bCs/>
          <w:color w:val="1F4E79"/>
        </w:rPr>
        <w:t xml:space="preserve">KPI  </w:t>
      </w:r>
      <w:r>
        <w:rPr>
          <w:color w:val="222222"/>
        </w:rPr>
        <w:t>Female</w:t>
      </w:r>
      <w:proofErr w:type="gramEnd"/>
      <w:r>
        <w:rPr>
          <w:color w:val="222222"/>
        </w:rPr>
        <w:t xml:space="preserve"> client average deposit balance YoY, Women Entrepreneur Loan disbursement count.</w:t>
      </w:r>
    </w:p>
    <w:p w14:paraId="7778058B" w14:textId="77777777" w:rsidR="00E7030C" w:rsidRDefault="00000000" w:rsidP="00E216C6">
      <w:pPr>
        <w:pStyle w:val="ListParagraph"/>
        <w:numPr>
          <w:ilvl w:val="0"/>
          <w:numId w:val="2"/>
        </w:numPr>
        <w:spacing w:before="28" w:after="28" w:line="204" w:lineRule="auto"/>
      </w:pPr>
      <w:r>
        <w:rPr>
          <w:b/>
          <w:bCs/>
          <w:color w:val="1F4E79"/>
        </w:rPr>
        <w:t xml:space="preserve">Watch out </w:t>
      </w:r>
      <w:proofErr w:type="gramStart"/>
      <w:r>
        <w:rPr>
          <w:b/>
          <w:bCs/>
          <w:color w:val="1F4E79"/>
        </w:rPr>
        <w:t xml:space="preserve">for  </w:t>
      </w:r>
      <w:r>
        <w:rPr>
          <w:color w:val="222222"/>
        </w:rPr>
        <w:t>Loan</w:t>
      </w:r>
      <w:proofErr w:type="gramEnd"/>
      <w:r>
        <w:rPr>
          <w:color w:val="222222"/>
        </w:rPr>
        <w:t xml:space="preserve"> product needs a compliant product design sign-off before launch. Build the Page 1 chart first — it's needed to set a credible baseline.</w:t>
      </w:r>
    </w:p>
    <w:p w14:paraId="5279A15A" w14:textId="77777777" w:rsidR="00E7030C" w:rsidRDefault="00E7030C" w:rsidP="00E216C6">
      <w:pPr>
        <w:spacing w:before="40" w:line="204" w:lineRule="auto"/>
      </w:pPr>
    </w:p>
    <w:p w14:paraId="1F2FDD47" w14:textId="77777777" w:rsidR="00E7030C" w:rsidRDefault="00000000" w:rsidP="00E216C6">
      <w:pPr>
        <w:spacing w:before="160" w:after="40" w:line="204" w:lineRule="auto"/>
      </w:pPr>
      <w:r>
        <w:rPr>
          <w:b/>
          <w:bCs/>
          <w:color w:val="2E75B6"/>
          <w:sz w:val="22"/>
          <w:szCs w:val="22"/>
        </w:rPr>
        <w:t>Credit Risk</w:t>
      </w:r>
    </w:p>
    <w:p w14:paraId="0A48AFA2" w14:textId="77777777" w:rsidR="00E7030C" w:rsidRDefault="00000000" w:rsidP="00E216C6">
      <w:pPr>
        <w:spacing w:before="100" w:after="20" w:line="204" w:lineRule="auto"/>
      </w:pPr>
      <w:r>
        <w:rPr>
          <w:b/>
          <w:bCs/>
          <w:color w:val="111111"/>
        </w:rPr>
        <w:t>Rec 4 — Pre-Disbursement Credit Screening</w:t>
      </w:r>
    </w:p>
    <w:p w14:paraId="21868E3B" w14:textId="77777777" w:rsidR="00E7030C" w:rsidRDefault="00000000" w:rsidP="00E216C6">
      <w:pPr>
        <w:pStyle w:val="ListParagraph"/>
        <w:numPr>
          <w:ilvl w:val="0"/>
          <w:numId w:val="2"/>
        </w:numPr>
        <w:spacing w:before="28" w:after="28" w:line="204" w:lineRule="auto"/>
      </w:pPr>
      <w:proofErr w:type="gramStart"/>
      <w:r>
        <w:rPr>
          <w:b/>
          <w:bCs/>
          <w:color w:val="1F4E79"/>
        </w:rPr>
        <w:t xml:space="preserve">Problem  </w:t>
      </w:r>
      <w:r>
        <w:rPr>
          <w:color w:val="222222"/>
        </w:rPr>
        <w:t>NPA</w:t>
      </w:r>
      <w:proofErr w:type="gramEnd"/>
      <w:r>
        <w:rPr>
          <w:color w:val="222222"/>
        </w:rPr>
        <w:t xml:space="preserve"> at 6% means the origination process has been passing borrowers it shouldn't. The missing </w:t>
      </w:r>
      <w:proofErr w:type="spellStart"/>
      <w:r>
        <w:rPr>
          <w:color w:val="222222"/>
        </w:rPr>
        <w:t>installments</w:t>
      </w:r>
      <w:proofErr w:type="spellEnd"/>
      <w:r>
        <w:rPr>
          <w:color w:val="222222"/>
        </w:rPr>
        <w:t xml:space="preserve"> KPI confirms defaults are still forming.</w:t>
      </w:r>
    </w:p>
    <w:p w14:paraId="420B1FA3" w14:textId="77777777" w:rsidR="00E7030C" w:rsidRDefault="00000000" w:rsidP="00E216C6">
      <w:pPr>
        <w:pStyle w:val="ListParagraph"/>
        <w:numPr>
          <w:ilvl w:val="0"/>
          <w:numId w:val="2"/>
        </w:numPr>
        <w:spacing w:before="28" w:after="28" w:line="204" w:lineRule="auto"/>
      </w:pPr>
      <w:proofErr w:type="gramStart"/>
      <w:r>
        <w:rPr>
          <w:b/>
          <w:bCs/>
          <w:color w:val="1F4E79"/>
        </w:rPr>
        <w:t xml:space="preserve">Actions  </w:t>
      </w:r>
      <w:r>
        <w:rPr>
          <w:color w:val="222222"/>
        </w:rPr>
        <w:t>Hard</w:t>
      </w:r>
      <w:proofErr w:type="gramEnd"/>
      <w:r>
        <w:rPr>
          <w:color w:val="222222"/>
        </w:rPr>
        <w:t xml:space="preserve"> gates before any loan is approved: CIBIL ≥650, income-to-EMI ≤40%, minimum 2 years in current employment. Three-tier rate structure: standard for Low Risk, +50–75 bps for Medium, escalation to credit </w:t>
      </w:r>
      <w:r>
        <w:rPr>
          <w:color w:val="222222"/>
        </w:rPr>
        <w:lastRenderedPageBreak/>
        <w:t>committee for High. Early Warning System: RM call within 48 hours of the first missed payment. Formal restructuring conversation when the third is missed — not after the 90-day clock runs out.</w:t>
      </w:r>
    </w:p>
    <w:p w14:paraId="3FC97E84" w14:textId="77777777" w:rsidR="00E7030C" w:rsidRDefault="00000000" w:rsidP="00E216C6">
      <w:pPr>
        <w:pStyle w:val="ListParagraph"/>
        <w:numPr>
          <w:ilvl w:val="0"/>
          <w:numId w:val="2"/>
        </w:numPr>
        <w:spacing w:before="28" w:after="28" w:line="204" w:lineRule="auto"/>
      </w:pPr>
      <w:r>
        <w:rPr>
          <w:b/>
          <w:bCs/>
          <w:color w:val="1F4E79"/>
        </w:rPr>
        <w:t xml:space="preserve">Expected </w:t>
      </w:r>
      <w:proofErr w:type="gramStart"/>
      <w:r>
        <w:rPr>
          <w:b/>
          <w:bCs/>
          <w:color w:val="1F4E79"/>
        </w:rPr>
        <w:t xml:space="preserve">outcome  </w:t>
      </w:r>
      <w:r>
        <w:rPr>
          <w:color w:val="222222"/>
        </w:rPr>
        <w:t>NPA</w:t>
      </w:r>
      <w:proofErr w:type="gramEnd"/>
      <w:r>
        <w:rPr>
          <w:color w:val="222222"/>
        </w:rPr>
        <w:t xml:space="preserve"> down 1.5–2 percentage points within 2 quarters. 20–30% reduction in new NPA formation once the EWS is running.</w:t>
      </w:r>
    </w:p>
    <w:p w14:paraId="300760AD" w14:textId="77777777" w:rsidR="00E7030C" w:rsidRDefault="00000000" w:rsidP="00E216C6">
      <w:pPr>
        <w:pStyle w:val="ListParagraph"/>
        <w:numPr>
          <w:ilvl w:val="0"/>
          <w:numId w:val="2"/>
        </w:numPr>
        <w:spacing w:before="28" w:after="28" w:line="204" w:lineRule="auto"/>
      </w:pPr>
      <w:proofErr w:type="gramStart"/>
      <w:r>
        <w:rPr>
          <w:b/>
          <w:bCs/>
          <w:color w:val="1F4E79"/>
        </w:rPr>
        <w:t xml:space="preserve">KPI  </w:t>
      </w:r>
      <w:r>
        <w:rPr>
          <w:color w:val="222222"/>
        </w:rPr>
        <w:t>NPA</w:t>
      </w:r>
      <w:proofErr w:type="gramEnd"/>
      <w:r>
        <w:rPr>
          <w:color w:val="222222"/>
        </w:rPr>
        <w:t xml:space="preserve"> %, count of clients missing ≥3 </w:t>
      </w:r>
      <w:proofErr w:type="spellStart"/>
      <w:r>
        <w:rPr>
          <w:color w:val="222222"/>
        </w:rPr>
        <w:t>installments</w:t>
      </w:r>
      <w:proofErr w:type="spellEnd"/>
      <w:r>
        <w:rPr>
          <w:color w:val="222222"/>
        </w:rPr>
        <w:t>, average days from first default to EWS trigger.</w:t>
      </w:r>
    </w:p>
    <w:p w14:paraId="261494B5" w14:textId="77777777" w:rsidR="00E7030C" w:rsidRDefault="00000000" w:rsidP="00E216C6">
      <w:pPr>
        <w:pStyle w:val="ListParagraph"/>
        <w:numPr>
          <w:ilvl w:val="0"/>
          <w:numId w:val="2"/>
        </w:numPr>
        <w:spacing w:before="28" w:after="28" w:line="204" w:lineRule="auto"/>
      </w:pPr>
      <w:r>
        <w:rPr>
          <w:b/>
          <w:bCs/>
          <w:color w:val="1F4E79"/>
        </w:rPr>
        <w:t xml:space="preserve">Watch out </w:t>
      </w:r>
      <w:proofErr w:type="gramStart"/>
      <w:r>
        <w:rPr>
          <w:b/>
          <w:bCs/>
          <w:color w:val="1F4E79"/>
        </w:rPr>
        <w:t xml:space="preserve">for  </w:t>
      </w:r>
      <w:r>
        <w:rPr>
          <w:color w:val="222222"/>
        </w:rPr>
        <w:t>EWS</w:t>
      </w:r>
      <w:proofErr w:type="gramEnd"/>
      <w:r>
        <w:rPr>
          <w:color w:val="222222"/>
        </w:rPr>
        <w:t xml:space="preserve"> needs CBS integration to be automated. Stricter gates will reduce loan volumes short-term — that is the intended trade-off.</w:t>
      </w:r>
    </w:p>
    <w:p w14:paraId="7E999EA5" w14:textId="77777777" w:rsidR="00E7030C" w:rsidRDefault="00E7030C" w:rsidP="00E216C6">
      <w:pPr>
        <w:spacing w:before="40" w:line="204" w:lineRule="auto"/>
      </w:pPr>
    </w:p>
    <w:p w14:paraId="6668174D" w14:textId="77777777" w:rsidR="00E7030C" w:rsidRDefault="00000000" w:rsidP="00E216C6">
      <w:pPr>
        <w:spacing w:before="100" w:after="20" w:line="204" w:lineRule="auto"/>
      </w:pPr>
      <w:r>
        <w:rPr>
          <w:b/>
          <w:bCs/>
          <w:color w:val="111111"/>
        </w:rPr>
        <w:t>Rec 5 — Credit Card CIBIL Floor and Tiered Limits</w:t>
      </w:r>
    </w:p>
    <w:p w14:paraId="4252CC73" w14:textId="77777777" w:rsidR="00E7030C" w:rsidRDefault="00000000" w:rsidP="00E216C6">
      <w:pPr>
        <w:pStyle w:val="ListParagraph"/>
        <w:numPr>
          <w:ilvl w:val="0"/>
          <w:numId w:val="2"/>
        </w:numPr>
        <w:spacing w:before="28" w:after="28" w:line="204" w:lineRule="auto"/>
      </w:pPr>
      <w:proofErr w:type="gramStart"/>
      <w:r>
        <w:rPr>
          <w:b/>
          <w:bCs/>
          <w:color w:val="1F4E79"/>
        </w:rPr>
        <w:t xml:space="preserve">Problem  </w:t>
      </w:r>
      <w:r>
        <w:rPr>
          <w:color w:val="222222"/>
        </w:rPr>
        <w:t>Median</w:t>
      </w:r>
      <w:proofErr w:type="gramEnd"/>
      <w:r>
        <w:rPr>
          <w:color w:val="222222"/>
        </w:rPr>
        <w:t xml:space="preserve"> CIBIL of 603 among active cardholders means a portion of the unsecured card book was approved below the acceptable threshold.</w:t>
      </w:r>
    </w:p>
    <w:p w14:paraId="7D7A2BB2" w14:textId="77777777" w:rsidR="00E7030C" w:rsidRDefault="00000000" w:rsidP="00E216C6">
      <w:pPr>
        <w:pStyle w:val="ListParagraph"/>
        <w:numPr>
          <w:ilvl w:val="0"/>
          <w:numId w:val="2"/>
        </w:numPr>
        <w:spacing w:before="28" w:after="28" w:line="204" w:lineRule="auto"/>
      </w:pPr>
      <w:proofErr w:type="gramStart"/>
      <w:r>
        <w:rPr>
          <w:b/>
          <w:bCs/>
          <w:color w:val="1F4E79"/>
        </w:rPr>
        <w:t xml:space="preserve">Actions  </w:t>
      </w:r>
      <w:r>
        <w:rPr>
          <w:color w:val="222222"/>
        </w:rPr>
        <w:t>CIBIL</w:t>
      </w:r>
      <w:proofErr w:type="gramEnd"/>
      <w:r>
        <w:rPr>
          <w:color w:val="222222"/>
        </w:rPr>
        <w:t xml:space="preserve"> 650 as a hard minimum for every new card application — no exceptions without CRO sign-off. Tiered limits: 650–699 gets a Starter card up to INR 50K; 700–749 gets Standard up to INR 1.5L; 750+ gets Premium with no cap beyond credit policy. Existing sub-650 holders: mandatory review, credit counselling or limit reduction.</w:t>
      </w:r>
    </w:p>
    <w:p w14:paraId="52EB3649" w14:textId="77777777" w:rsidR="00E7030C" w:rsidRDefault="00000000" w:rsidP="00E216C6">
      <w:pPr>
        <w:pStyle w:val="ListParagraph"/>
        <w:numPr>
          <w:ilvl w:val="0"/>
          <w:numId w:val="2"/>
        </w:numPr>
        <w:spacing w:before="28" w:after="28" w:line="204" w:lineRule="auto"/>
      </w:pPr>
      <w:r>
        <w:rPr>
          <w:b/>
          <w:bCs/>
          <w:color w:val="1F4E79"/>
        </w:rPr>
        <w:t xml:space="preserve">Expected </w:t>
      </w:r>
      <w:proofErr w:type="gramStart"/>
      <w:r>
        <w:rPr>
          <w:b/>
          <w:bCs/>
          <w:color w:val="1F4E79"/>
        </w:rPr>
        <w:t xml:space="preserve">outcome  </w:t>
      </w:r>
      <w:r>
        <w:rPr>
          <w:color w:val="222222"/>
        </w:rPr>
        <w:t>Portfolio</w:t>
      </w:r>
      <w:proofErr w:type="gramEnd"/>
      <w:r>
        <w:rPr>
          <w:color w:val="222222"/>
        </w:rPr>
        <w:t xml:space="preserve"> median CIBIL above 670 within 2 quarters. Card delinquency rate down 15–20% within 6 months.</w:t>
      </w:r>
    </w:p>
    <w:p w14:paraId="248E7AA5" w14:textId="77777777" w:rsidR="00E7030C" w:rsidRDefault="00000000" w:rsidP="00E216C6">
      <w:pPr>
        <w:pStyle w:val="ListParagraph"/>
        <w:numPr>
          <w:ilvl w:val="0"/>
          <w:numId w:val="2"/>
        </w:numPr>
        <w:spacing w:before="28" w:after="28" w:line="204" w:lineRule="auto"/>
      </w:pPr>
      <w:proofErr w:type="gramStart"/>
      <w:r>
        <w:rPr>
          <w:b/>
          <w:bCs/>
          <w:color w:val="1F4E79"/>
        </w:rPr>
        <w:t xml:space="preserve">KPI  </w:t>
      </w:r>
      <w:r>
        <w:rPr>
          <w:color w:val="222222"/>
        </w:rPr>
        <w:t>Median</w:t>
      </w:r>
      <w:proofErr w:type="gramEnd"/>
      <w:r>
        <w:rPr>
          <w:color w:val="222222"/>
        </w:rPr>
        <w:t xml:space="preserve"> CIBIL score (active cardholders), card delinquency rate, share of new approvals above CIBIL 650.</w:t>
      </w:r>
    </w:p>
    <w:p w14:paraId="0903C38B" w14:textId="77777777" w:rsidR="00E7030C" w:rsidRDefault="00000000" w:rsidP="00E216C6">
      <w:pPr>
        <w:pStyle w:val="ListParagraph"/>
        <w:numPr>
          <w:ilvl w:val="0"/>
          <w:numId w:val="2"/>
        </w:numPr>
        <w:spacing w:before="28" w:after="28" w:line="204" w:lineRule="auto"/>
      </w:pPr>
      <w:r>
        <w:rPr>
          <w:b/>
          <w:bCs/>
          <w:color w:val="1F4E79"/>
        </w:rPr>
        <w:t xml:space="preserve">Watch out </w:t>
      </w:r>
      <w:proofErr w:type="gramStart"/>
      <w:r>
        <w:rPr>
          <w:b/>
          <w:bCs/>
          <w:color w:val="1F4E79"/>
        </w:rPr>
        <w:t xml:space="preserve">for  </w:t>
      </w:r>
      <w:r>
        <w:rPr>
          <w:color w:val="222222"/>
        </w:rPr>
        <w:t>Approval</w:t>
      </w:r>
      <w:proofErr w:type="gramEnd"/>
      <w:r>
        <w:rPr>
          <w:color w:val="222222"/>
        </w:rPr>
        <w:t xml:space="preserve"> volumes will drop in the near term. Run a targeted campaign for 650+ prospects in parallel to prevent a net card base decline.</w:t>
      </w:r>
    </w:p>
    <w:p w14:paraId="7071566D" w14:textId="77777777" w:rsidR="00E7030C" w:rsidRDefault="00E7030C" w:rsidP="00E216C6">
      <w:pPr>
        <w:spacing w:before="40" w:line="204" w:lineRule="auto"/>
      </w:pPr>
    </w:p>
    <w:p w14:paraId="470D96DF" w14:textId="77777777" w:rsidR="00E7030C" w:rsidRDefault="00000000" w:rsidP="00E216C6">
      <w:pPr>
        <w:spacing w:before="160" w:after="40" w:line="204" w:lineRule="auto"/>
      </w:pPr>
      <w:r>
        <w:rPr>
          <w:b/>
          <w:bCs/>
          <w:color w:val="2E75B6"/>
          <w:sz w:val="22"/>
          <w:szCs w:val="22"/>
        </w:rPr>
        <w:t>Revenue Growth</w:t>
      </w:r>
    </w:p>
    <w:p w14:paraId="6F61CBD7" w14:textId="77777777" w:rsidR="00E7030C" w:rsidRDefault="00000000" w:rsidP="00E216C6">
      <w:pPr>
        <w:spacing w:before="100" w:after="20" w:line="204" w:lineRule="auto"/>
      </w:pPr>
      <w:r>
        <w:rPr>
          <w:b/>
          <w:bCs/>
          <w:color w:val="111111"/>
        </w:rPr>
        <w:t>Rec 6 — Merchant Cashback Partnerships</w:t>
      </w:r>
    </w:p>
    <w:p w14:paraId="15D5E75A" w14:textId="77777777" w:rsidR="00E7030C" w:rsidRDefault="00000000" w:rsidP="00E216C6">
      <w:pPr>
        <w:pStyle w:val="ListParagraph"/>
        <w:numPr>
          <w:ilvl w:val="0"/>
          <w:numId w:val="2"/>
        </w:numPr>
        <w:spacing w:before="28" w:after="28" w:line="204" w:lineRule="auto"/>
      </w:pPr>
      <w:proofErr w:type="gramStart"/>
      <w:r>
        <w:rPr>
          <w:b/>
          <w:bCs/>
          <w:color w:val="1F4E79"/>
        </w:rPr>
        <w:t xml:space="preserve">Problem  </w:t>
      </w:r>
      <w:r>
        <w:rPr>
          <w:color w:val="222222"/>
        </w:rPr>
        <w:t>Flipkart</w:t>
      </w:r>
      <w:proofErr w:type="gramEnd"/>
      <w:r>
        <w:rPr>
          <w:color w:val="222222"/>
        </w:rPr>
        <w:t>, Myntra, Amazon, and Uber dominate card spend. The bank gets interchange on every transaction but has no co-branded agreement with any of them.</w:t>
      </w:r>
    </w:p>
    <w:p w14:paraId="4A191F11" w14:textId="77777777" w:rsidR="00E7030C" w:rsidRDefault="00000000" w:rsidP="00E216C6">
      <w:pPr>
        <w:pStyle w:val="ListParagraph"/>
        <w:numPr>
          <w:ilvl w:val="0"/>
          <w:numId w:val="2"/>
        </w:numPr>
        <w:spacing w:before="28" w:after="28" w:line="204" w:lineRule="auto"/>
      </w:pPr>
      <w:proofErr w:type="gramStart"/>
      <w:r>
        <w:rPr>
          <w:b/>
          <w:bCs/>
          <w:color w:val="1F4E79"/>
        </w:rPr>
        <w:t xml:space="preserve">Actions  </w:t>
      </w:r>
      <w:r>
        <w:rPr>
          <w:color w:val="222222"/>
        </w:rPr>
        <w:t>Flipkart</w:t>
      </w:r>
      <w:proofErr w:type="gramEnd"/>
      <w:r>
        <w:rPr>
          <w:color w:val="222222"/>
        </w:rPr>
        <w:t xml:space="preserve"> and Amazon: 5% cashback on monthly spends above INR 3K, co-funded jointly with the merchant. Myntra: 10% cashback during the first weekend of each month. Uber: INR 100 back per 5 rides in a month. Annual milestone: cardholders spending above INR 1.5L in the year get complimentary lounge access. Also: add merchant-wise spend value (not just count) to Page 4 — it's the number that actually measures programme ROI.</w:t>
      </w:r>
    </w:p>
    <w:p w14:paraId="40C9B1EE" w14:textId="77777777" w:rsidR="00E7030C" w:rsidRDefault="00000000" w:rsidP="00E216C6">
      <w:pPr>
        <w:pStyle w:val="ListParagraph"/>
        <w:numPr>
          <w:ilvl w:val="0"/>
          <w:numId w:val="2"/>
        </w:numPr>
        <w:spacing w:before="28" w:after="28" w:line="204" w:lineRule="auto"/>
      </w:pPr>
      <w:r>
        <w:rPr>
          <w:b/>
          <w:bCs/>
          <w:color w:val="1F4E79"/>
        </w:rPr>
        <w:t xml:space="preserve">Expected </w:t>
      </w:r>
      <w:proofErr w:type="gramStart"/>
      <w:r>
        <w:rPr>
          <w:b/>
          <w:bCs/>
          <w:color w:val="1F4E79"/>
        </w:rPr>
        <w:t xml:space="preserve">outcome  </w:t>
      </w:r>
      <w:r>
        <w:rPr>
          <w:color w:val="222222"/>
        </w:rPr>
        <w:t>Average</w:t>
      </w:r>
      <w:proofErr w:type="gramEnd"/>
      <w:r>
        <w:rPr>
          <w:color w:val="222222"/>
        </w:rPr>
        <w:t xml:space="preserve"> monthly card spend per active cardholder up 20–25% within 6 months. Card retention at annual renewal up 10–15%. Merchant co-funding covers 50–70% of cashback cost.</w:t>
      </w:r>
    </w:p>
    <w:p w14:paraId="14BBE0BD" w14:textId="77777777" w:rsidR="00E7030C" w:rsidRDefault="00000000" w:rsidP="00E216C6">
      <w:pPr>
        <w:pStyle w:val="ListParagraph"/>
        <w:numPr>
          <w:ilvl w:val="0"/>
          <w:numId w:val="2"/>
        </w:numPr>
        <w:spacing w:before="28" w:after="28" w:line="204" w:lineRule="auto"/>
      </w:pPr>
      <w:proofErr w:type="gramStart"/>
      <w:r>
        <w:rPr>
          <w:b/>
          <w:bCs/>
          <w:color w:val="1F4E79"/>
        </w:rPr>
        <w:t xml:space="preserve">KPI  </w:t>
      </w:r>
      <w:r>
        <w:rPr>
          <w:color w:val="222222"/>
        </w:rPr>
        <w:t>Average</w:t>
      </w:r>
      <w:proofErr w:type="gramEnd"/>
      <w:r>
        <w:rPr>
          <w:color w:val="222222"/>
        </w:rPr>
        <w:t xml:space="preserve"> monthly spend per cardholder, card renewal retention rate, merchant partnership revenue.</w:t>
      </w:r>
    </w:p>
    <w:p w14:paraId="2248485B" w14:textId="42E8D5C1" w:rsidR="00E7030C" w:rsidRPr="00C94EE8" w:rsidRDefault="00000000" w:rsidP="00C94EE8">
      <w:pPr>
        <w:pStyle w:val="ListParagraph"/>
        <w:numPr>
          <w:ilvl w:val="0"/>
          <w:numId w:val="2"/>
        </w:numPr>
        <w:spacing w:before="28" w:after="28" w:line="204" w:lineRule="auto"/>
      </w:pPr>
      <w:r>
        <w:rPr>
          <w:b/>
          <w:bCs/>
          <w:color w:val="1F4E79"/>
        </w:rPr>
        <w:t xml:space="preserve">Watch out </w:t>
      </w:r>
      <w:proofErr w:type="gramStart"/>
      <w:r>
        <w:rPr>
          <w:b/>
          <w:bCs/>
          <w:color w:val="1F4E79"/>
        </w:rPr>
        <w:t xml:space="preserve">for  </w:t>
      </w:r>
      <w:r>
        <w:rPr>
          <w:color w:val="222222"/>
        </w:rPr>
        <w:t>Cap</w:t>
      </w:r>
      <w:proofErr w:type="gramEnd"/>
      <w:r>
        <w:rPr>
          <w:color w:val="222222"/>
        </w:rPr>
        <w:t xml:space="preserve"> per-cardholder monthly cashback exposure before launch. If co-funding negotiations stall, run the Uber offer first — it's the simplest to structure internally.</w:t>
      </w:r>
    </w:p>
    <w:p w14:paraId="0721DF81" w14:textId="77777777" w:rsidR="00C94EE8" w:rsidRDefault="00C94EE8" w:rsidP="00C94EE8">
      <w:pPr>
        <w:spacing w:before="28" w:after="28" w:line="204" w:lineRule="auto"/>
      </w:pPr>
    </w:p>
    <w:p w14:paraId="4A0C88F3" w14:textId="77777777" w:rsidR="00E7030C" w:rsidRDefault="00000000" w:rsidP="00E216C6">
      <w:pPr>
        <w:pBdr>
          <w:bottom w:val="single" w:sz="5" w:space="1" w:color="2E75B6"/>
        </w:pBdr>
        <w:spacing w:before="220" w:after="50" w:line="204" w:lineRule="auto"/>
      </w:pPr>
      <w:r>
        <w:rPr>
          <w:b/>
          <w:bCs/>
          <w:caps/>
          <w:color w:val="1F4E79"/>
          <w:sz w:val="26"/>
          <w:szCs w:val="26"/>
        </w:rPr>
        <w:t>4. Risks Worth Tracking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6"/>
        <w:gridCol w:w="1162"/>
        <w:gridCol w:w="993"/>
        <w:gridCol w:w="978"/>
        <w:gridCol w:w="4271"/>
      </w:tblGrid>
      <w:tr w:rsidR="00E7030C" w14:paraId="4B4C0918" w14:textId="77777777">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5DEEAD77" w14:textId="77777777" w:rsidR="00E7030C" w:rsidRDefault="00000000" w:rsidP="00E216C6">
            <w:pPr>
              <w:spacing w:line="204" w:lineRule="auto"/>
            </w:pPr>
            <w:r>
              <w:rPr>
                <w:b/>
                <w:bCs/>
                <w:color w:val="FFFFFF"/>
                <w:sz w:val="18"/>
                <w:szCs w:val="18"/>
              </w:rPr>
              <w:t>Risk</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28818A3F" w14:textId="77777777" w:rsidR="00E7030C" w:rsidRDefault="00000000" w:rsidP="00E216C6">
            <w:pPr>
              <w:spacing w:line="204" w:lineRule="auto"/>
            </w:pPr>
            <w:r>
              <w:rPr>
                <w:b/>
                <w:bCs/>
                <w:color w:val="FFFFFF"/>
                <w:sz w:val="18"/>
                <w:szCs w:val="18"/>
              </w:rPr>
              <w:t>Type</w:t>
            </w:r>
          </w:p>
        </w:tc>
        <w:tc>
          <w:tcPr>
            <w:tcW w:w="98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0CA14877" w14:textId="77777777" w:rsidR="00E7030C" w:rsidRDefault="00000000" w:rsidP="00E216C6">
            <w:pPr>
              <w:spacing w:line="204" w:lineRule="auto"/>
              <w:jc w:val="center"/>
            </w:pPr>
            <w:r>
              <w:rPr>
                <w:b/>
                <w:bCs/>
                <w:color w:val="FFFFFF"/>
                <w:sz w:val="18"/>
                <w:szCs w:val="18"/>
              </w:rPr>
              <w:t>Likelihood</w:t>
            </w:r>
          </w:p>
        </w:tc>
        <w:tc>
          <w:tcPr>
            <w:tcW w:w="98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2265ABD7" w14:textId="77777777" w:rsidR="00E7030C" w:rsidRDefault="00000000" w:rsidP="00E216C6">
            <w:pPr>
              <w:spacing w:line="204" w:lineRule="auto"/>
              <w:jc w:val="center"/>
            </w:pPr>
            <w:r>
              <w:rPr>
                <w:b/>
                <w:bCs/>
                <w:color w:val="FFFFFF"/>
                <w:sz w:val="18"/>
                <w:szCs w:val="18"/>
              </w:rPr>
              <w:t>Impact</w:t>
            </w:r>
          </w:p>
        </w:tc>
        <w:tc>
          <w:tcPr>
            <w:tcW w:w="432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317E09D5" w14:textId="77777777" w:rsidR="00E7030C" w:rsidRDefault="00000000" w:rsidP="00E216C6">
            <w:pPr>
              <w:spacing w:line="204" w:lineRule="auto"/>
            </w:pPr>
            <w:r>
              <w:rPr>
                <w:b/>
                <w:bCs/>
                <w:color w:val="FFFFFF"/>
                <w:sz w:val="18"/>
                <w:szCs w:val="18"/>
              </w:rPr>
              <w:t>How to handle it</w:t>
            </w:r>
          </w:p>
        </w:tc>
      </w:tr>
      <w:tr w:rsidR="00E7030C" w14:paraId="076E457A"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3F05B9F5" w14:textId="77777777" w:rsidR="00E7030C" w:rsidRDefault="00000000" w:rsidP="00E216C6">
            <w:pPr>
              <w:spacing w:line="204" w:lineRule="auto"/>
            </w:pPr>
            <w:r>
              <w:rPr>
                <w:color w:val="222222"/>
                <w:sz w:val="18"/>
                <w:szCs w:val="18"/>
              </w:rPr>
              <w:t>NPA worsens before EWS is live</w:t>
            </w:r>
          </w:p>
        </w:tc>
        <w:tc>
          <w:tcPr>
            <w:tcW w:w="11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59BBB67B" w14:textId="77777777" w:rsidR="00E7030C" w:rsidRDefault="00000000" w:rsidP="00E216C6">
            <w:pPr>
              <w:spacing w:line="204" w:lineRule="auto"/>
            </w:pPr>
            <w:r>
              <w:rPr>
                <w:color w:val="222222"/>
                <w:sz w:val="18"/>
                <w:szCs w:val="18"/>
              </w:rPr>
              <w:t>Credit</w:t>
            </w:r>
          </w:p>
        </w:tc>
        <w:tc>
          <w:tcPr>
            <w:tcW w:w="9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11547BA8" w14:textId="77777777" w:rsidR="00E7030C" w:rsidRDefault="00000000" w:rsidP="00E216C6">
            <w:pPr>
              <w:spacing w:line="204" w:lineRule="auto"/>
              <w:jc w:val="center"/>
            </w:pPr>
            <w:r>
              <w:rPr>
                <w:color w:val="222222"/>
                <w:sz w:val="18"/>
                <w:szCs w:val="18"/>
              </w:rPr>
              <w:t>High</w:t>
            </w:r>
          </w:p>
        </w:tc>
        <w:tc>
          <w:tcPr>
            <w:tcW w:w="9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71188FE1" w14:textId="77777777" w:rsidR="00E7030C" w:rsidRDefault="00000000" w:rsidP="00E216C6">
            <w:pPr>
              <w:spacing w:line="204" w:lineRule="auto"/>
              <w:jc w:val="center"/>
            </w:pPr>
            <w:r>
              <w:rPr>
                <w:color w:val="222222"/>
                <w:sz w:val="18"/>
                <w:szCs w:val="18"/>
              </w:rPr>
              <w:t>High</w:t>
            </w:r>
          </w:p>
        </w:tc>
        <w:tc>
          <w:tcPr>
            <w:tcW w:w="432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56549F40" w14:textId="77777777" w:rsidR="00E7030C" w:rsidRDefault="00000000" w:rsidP="00E216C6">
            <w:pPr>
              <w:spacing w:line="204" w:lineRule="auto"/>
            </w:pPr>
            <w:r>
              <w:rPr>
                <w:color w:val="222222"/>
                <w:sz w:val="18"/>
                <w:szCs w:val="18"/>
              </w:rPr>
              <w:t>Manual outreach to every 90-day bucket now. EWS is Phase 1 — it cannot slip.</w:t>
            </w:r>
          </w:p>
        </w:tc>
      </w:tr>
      <w:tr w:rsidR="00E7030C" w14:paraId="5EA9F253" w14:textId="77777777">
        <w:tc>
          <w:tcPr>
            <w:tcW w:w="27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2C6C0A06" w14:textId="77777777" w:rsidR="00E7030C" w:rsidRDefault="00000000" w:rsidP="00E216C6">
            <w:pPr>
              <w:spacing w:line="204" w:lineRule="auto"/>
            </w:pPr>
            <w:r>
              <w:rPr>
                <w:color w:val="222222"/>
                <w:sz w:val="18"/>
                <w:szCs w:val="18"/>
              </w:rPr>
              <w:t>Sub-650 CC book generates losses before audit completes</w:t>
            </w:r>
          </w:p>
        </w:tc>
        <w:tc>
          <w:tcPr>
            <w:tcW w:w="11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47C96491" w14:textId="77777777" w:rsidR="00E7030C" w:rsidRDefault="00000000" w:rsidP="00E216C6">
            <w:pPr>
              <w:spacing w:line="204" w:lineRule="auto"/>
            </w:pPr>
            <w:r>
              <w:rPr>
                <w:color w:val="222222"/>
                <w:sz w:val="18"/>
                <w:szCs w:val="18"/>
              </w:rPr>
              <w:t>Credit</w:t>
            </w:r>
          </w:p>
        </w:tc>
        <w:tc>
          <w:tcPr>
            <w:tcW w:w="9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1423E718" w14:textId="77777777" w:rsidR="00E7030C" w:rsidRDefault="00000000" w:rsidP="00E216C6">
            <w:pPr>
              <w:spacing w:line="204" w:lineRule="auto"/>
              <w:jc w:val="center"/>
            </w:pPr>
            <w:r>
              <w:rPr>
                <w:color w:val="222222"/>
                <w:sz w:val="18"/>
                <w:szCs w:val="18"/>
              </w:rPr>
              <w:t>Medium</w:t>
            </w:r>
          </w:p>
        </w:tc>
        <w:tc>
          <w:tcPr>
            <w:tcW w:w="9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40654415" w14:textId="77777777" w:rsidR="00E7030C" w:rsidRDefault="00000000" w:rsidP="00E216C6">
            <w:pPr>
              <w:spacing w:line="204" w:lineRule="auto"/>
              <w:jc w:val="center"/>
            </w:pPr>
            <w:r>
              <w:rPr>
                <w:color w:val="222222"/>
                <w:sz w:val="18"/>
                <w:szCs w:val="18"/>
              </w:rPr>
              <w:t>High</w:t>
            </w:r>
          </w:p>
        </w:tc>
        <w:tc>
          <w:tcPr>
            <w:tcW w:w="4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07F1B498" w14:textId="77777777" w:rsidR="00E7030C" w:rsidRDefault="00000000" w:rsidP="00E216C6">
            <w:pPr>
              <w:spacing w:line="204" w:lineRule="auto"/>
            </w:pPr>
            <w:r>
              <w:rPr>
                <w:color w:val="222222"/>
                <w:sz w:val="18"/>
                <w:szCs w:val="18"/>
              </w:rPr>
              <w:t>Hard gate all new approvals at CIBIL 650 this week. Audit runs in parallel.</w:t>
            </w:r>
          </w:p>
        </w:tc>
      </w:tr>
      <w:tr w:rsidR="00E7030C" w14:paraId="71111018"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38C24274" w14:textId="77777777" w:rsidR="00E7030C" w:rsidRDefault="00000000" w:rsidP="00E216C6">
            <w:pPr>
              <w:spacing w:line="204" w:lineRule="auto"/>
            </w:pPr>
            <w:r>
              <w:rPr>
                <w:color w:val="222222"/>
                <w:sz w:val="18"/>
                <w:szCs w:val="18"/>
              </w:rPr>
              <w:t>RMs resist performance tracking once the scorecard goes live</w:t>
            </w:r>
          </w:p>
        </w:tc>
        <w:tc>
          <w:tcPr>
            <w:tcW w:w="11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0F7C2FFD" w14:textId="77777777" w:rsidR="00E7030C" w:rsidRDefault="00000000" w:rsidP="00E216C6">
            <w:pPr>
              <w:spacing w:line="204" w:lineRule="auto"/>
            </w:pPr>
            <w:r>
              <w:rPr>
                <w:color w:val="222222"/>
                <w:sz w:val="18"/>
                <w:szCs w:val="18"/>
              </w:rPr>
              <w:t>Operational</w:t>
            </w:r>
          </w:p>
        </w:tc>
        <w:tc>
          <w:tcPr>
            <w:tcW w:w="9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2A49BA34" w14:textId="77777777" w:rsidR="00E7030C" w:rsidRDefault="00000000" w:rsidP="00E216C6">
            <w:pPr>
              <w:spacing w:line="204" w:lineRule="auto"/>
              <w:jc w:val="center"/>
            </w:pPr>
            <w:r>
              <w:rPr>
                <w:color w:val="222222"/>
                <w:sz w:val="18"/>
                <w:szCs w:val="18"/>
              </w:rPr>
              <w:t>Medium</w:t>
            </w:r>
          </w:p>
        </w:tc>
        <w:tc>
          <w:tcPr>
            <w:tcW w:w="9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697926B1" w14:textId="77777777" w:rsidR="00E7030C" w:rsidRDefault="00000000" w:rsidP="00E216C6">
            <w:pPr>
              <w:spacing w:line="204" w:lineRule="auto"/>
              <w:jc w:val="center"/>
            </w:pPr>
            <w:r>
              <w:rPr>
                <w:color w:val="222222"/>
                <w:sz w:val="18"/>
                <w:szCs w:val="18"/>
              </w:rPr>
              <w:t>Medium</w:t>
            </w:r>
          </w:p>
        </w:tc>
        <w:tc>
          <w:tcPr>
            <w:tcW w:w="432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67CE5147" w14:textId="77777777" w:rsidR="00E7030C" w:rsidRDefault="00000000" w:rsidP="00E216C6">
            <w:pPr>
              <w:spacing w:line="204" w:lineRule="auto"/>
            </w:pPr>
            <w:r>
              <w:rPr>
                <w:color w:val="222222"/>
                <w:sz w:val="18"/>
                <w:szCs w:val="18"/>
              </w:rPr>
              <w:t>Targets should be set with RM input, not handed down. Pair accountability with upside.</w:t>
            </w:r>
          </w:p>
        </w:tc>
      </w:tr>
      <w:tr w:rsidR="00E7030C" w14:paraId="65108E08" w14:textId="77777777">
        <w:tc>
          <w:tcPr>
            <w:tcW w:w="27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36A359DD" w14:textId="77777777" w:rsidR="00E7030C" w:rsidRDefault="00000000" w:rsidP="00E216C6">
            <w:pPr>
              <w:spacing w:line="204" w:lineRule="auto"/>
            </w:pPr>
            <w:r>
              <w:rPr>
                <w:color w:val="222222"/>
                <w:sz w:val="18"/>
                <w:szCs w:val="18"/>
              </w:rPr>
              <w:t>Cashback cost outruns merchant co-funding</w:t>
            </w:r>
          </w:p>
        </w:tc>
        <w:tc>
          <w:tcPr>
            <w:tcW w:w="11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33BB318D" w14:textId="77777777" w:rsidR="00E7030C" w:rsidRDefault="00000000" w:rsidP="00E216C6">
            <w:pPr>
              <w:spacing w:line="204" w:lineRule="auto"/>
            </w:pPr>
            <w:r>
              <w:rPr>
                <w:color w:val="222222"/>
                <w:sz w:val="18"/>
                <w:szCs w:val="18"/>
              </w:rPr>
              <w:t>Financial</w:t>
            </w:r>
          </w:p>
        </w:tc>
        <w:tc>
          <w:tcPr>
            <w:tcW w:w="9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2F68C5E4" w14:textId="77777777" w:rsidR="00E7030C" w:rsidRDefault="00000000" w:rsidP="00E216C6">
            <w:pPr>
              <w:spacing w:line="204" w:lineRule="auto"/>
              <w:jc w:val="center"/>
            </w:pPr>
            <w:r>
              <w:rPr>
                <w:color w:val="222222"/>
                <w:sz w:val="18"/>
                <w:szCs w:val="18"/>
              </w:rPr>
              <w:t>Low</w:t>
            </w:r>
          </w:p>
        </w:tc>
        <w:tc>
          <w:tcPr>
            <w:tcW w:w="9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617C833C" w14:textId="77777777" w:rsidR="00E7030C" w:rsidRDefault="00000000" w:rsidP="00E216C6">
            <w:pPr>
              <w:spacing w:line="204" w:lineRule="auto"/>
              <w:jc w:val="center"/>
            </w:pPr>
            <w:r>
              <w:rPr>
                <w:color w:val="222222"/>
                <w:sz w:val="18"/>
                <w:szCs w:val="18"/>
              </w:rPr>
              <w:t>Medium</w:t>
            </w:r>
          </w:p>
        </w:tc>
        <w:tc>
          <w:tcPr>
            <w:tcW w:w="4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00C3729C" w14:textId="77777777" w:rsidR="00E7030C" w:rsidRDefault="00000000" w:rsidP="00E216C6">
            <w:pPr>
              <w:spacing w:line="204" w:lineRule="auto"/>
            </w:pPr>
            <w:r>
              <w:rPr>
                <w:color w:val="222222"/>
                <w:sz w:val="18"/>
                <w:szCs w:val="18"/>
              </w:rPr>
              <w:t>Cap per-cardholder monthly liability. Confirm co-funding agreement before programme goes live.</w:t>
            </w:r>
          </w:p>
        </w:tc>
      </w:tr>
      <w:tr w:rsidR="00E7030C" w14:paraId="25FC1229"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4725AE0F" w14:textId="77777777" w:rsidR="00E7030C" w:rsidRDefault="00000000" w:rsidP="00E216C6">
            <w:pPr>
              <w:spacing w:line="204" w:lineRule="auto"/>
            </w:pPr>
            <w:r>
              <w:rPr>
                <w:color w:val="222222"/>
                <w:sz w:val="18"/>
                <w:szCs w:val="18"/>
              </w:rPr>
              <w:t>Complaints table missing fields delays dashboard build</w:t>
            </w:r>
          </w:p>
        </w:tc>
        <w:tc>
          <w:tcPr>
            <w:tcW w:w="11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0B9362FF" w14:textId="77777777" w:rsidR="00E7030C" w:rsidRDefault="00000000" w:rsidP="00E216C6">
            <w:pPr>
              <w:spacing w:line="204" w:lineRule="auto"/>
            </w:pPr>
            <w:r>
              <w:rPr>
                <w:color w:val="222222"/>
                <w:sz w:val="18"/>
                <w:szCs w:val="18"/>
              </w:rPr>
              <w:t>Operational</w:t>
            </w:r>
          </w:p>
        </w:tc>
        <w:tc>
          <w:tcPr>
            <w:tcW w:w="9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3049998B" w14:textId="77777777" w:rsidR="00E7030C" w:rsidRDefault="00000000" w:rsidP="00E216C6">
            <w:pPr>
              <w:spacing w:line="204" w:lineRule="auto"/>
              <w:jc w:val="center"/>
            </w:pPr>
            <w:r>
              <w:rPr>
                <w:color w:val="222222"/>
                <w:sz w:val="18"/>
                <w:szCs w:val="18"/>
              </w:rPr>
              <w:t>High</w:t>
            </w:r>
          </w:p>
        </w:tc>
        <w:tc>
          <w:tcPr>
            <w:tcW w:w="9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12943939" w14:textId="77777777" w:rsidR="00E7030C" w:rsidRDefault="00000000" w:rsidP="00E216C6">
            <w:pPr>
              <w:spacing w:line="204" w:lineRule="auto"/>
              <w:jc w:val="center"/>
            </w:pPr>
            <w:r>
              <w:rPr>
                <w:color w:val="222222"/>
                <w:sz w:val="18"/>
                <w:szCs w:val="18"/>
              </w:rPr>
              <w:t>Low</w:t>
            </w:r>
          </w:p>
        </w:tc>
        <w:tc>
          <w:tcPr>
            <w:tcW w:w="432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5B63FD5F" w14:textId="77777777" w:rsidR="00E7030C" w:rsidRDefault="00000000" w:rsidP="00E216C6">
            <w:pPr>
              <w:spacing w:line="204" w:lineRule="auto"/>
            </w:pPr>
            <w:r>
              <w:rPr>
                <w:color w:val="222222"/>
                <w:sz w:val="18"/>
                <w:szCs w:val="18"/>
              </w:rPr>
              <w:t>Start the Complaints table data quality fix in Week 1. It blocks Rec 8 entirely.</w:t>
            </w:r>
          </w:p>
        </w:tc>
      </w:tr>
      <w:tr w:rsidR="00E7030C" w14:paraId="30027ECE" w14:textId="77777777">
        <w:tc>
          <w:tcPr>
            <w:tcW w:w="27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525170E8" w14:textId="77777777" w:rsidR="00E7030C" w:rsidRDefault="00000000" w:rsidP="00E216C6">
            <w:pPr>
              <w:spacing w:line="204" w:lineRule="auto"/>
            </w:pPr>
            <w:r>
              <w:rPr>
                <w:color w:val="222222"/>
                <w:sz w:val="18"/>
                <w:szCs w:val="18"/>
              </w:rPr>
              <w:t>RBI inquiry on NPA exposure before remediation is visible</w:t>
            </w:r>
          </w:p>
        </w:tc>
        <w:tc>
          <w:tcPr>
            <w:tcW w:w="11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19654F19" w14:textId="77777777" w:rsidR="00E7030C" w:rsidRDefault="00000000" w:rsidP="00E216C6">
            <w:pPr>
              <w:spacing w:line="204" w:lineRule="auto"/>
            </w:pPr>
            <w:r>
              <w:rPr>
                <w:color w:val="222222"/>
                <w:sz w:val="18"/>
                <w:szCs w:val="18"/>
              </w:rPr>
              <w:t>Regulatory</w:t>
            </w:r>
          </w:p>
        </w:tc>
        <w:tc>
          <w:tcPr>
            <w:tcW w:w="9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5E982B40" w14:textId="77777777" w:rsidR="00E7030C" w:rsidRDefault="00000000" w:rsidP="00E216C6">
            <w:pPr>
              <w:spacing w:line="204" w:lineRule="auto"/>
              <w:jc w:val="center"/>
            </w:pPr>
            <w:r>
              <w:rPr>
                <w:color w:val="222222"/>
                <w:sz w:val="18"/>
                <w:szCs w:val="18"/>
              </w:rPr>
              <w:t>Medium</w:t>
            </w:r>
          </w:p>
        </w:tc>
        <w:tc>
          <w:tcPr>
            <w:tcW w:w="9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0EC026CC" w14:textId="77777777" w:rsidR="00E7030C" w:rsidRDefault="00000000" w:rsidP="00E216C6">
            <w:pPr>
              <w:spacing w:line="204" w:lineRule="auto"/>
              <w:jc w:val="center"/>
            </w:pPr>
            <w:r>
              <w:rPr>
                <w:color w:val="222222"/>
                <w:sz w:val="18"/>
                <w:szCs w:val="18"/>
              </w:rPr>
              <w:t>High</w:t>
            </w:r>
          </w:p>
        </w:tc>
        <w:tc>
          <w:tcPr>
            <w:tcW w:w="4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7C9D0CD7" w14:textId="77777777" w:rsidR="00E7030C" w:rsidRDefault="00000000" w:rsidP="00E216C6">
            <w:pPr>
              <w:spacing w:line="204" w:lineRule="auto"/>
            </w:pPr>
            <w:r>
              <w:rPr>
                <w:color w:val="222222"/>
                <w:sz w:val="18"/>
                <w:szCs w:val="18"/>
              </w:rPr>
              <w:t>Prepare a written remediation timeline for Phases 1 and 2. Share proactively, not in response to a notice.</w:t>
            </w:r>
          </w:p>
        </w:tc>
      </w:tr>
      <w:tr w:rsidR="00E7030C" w14:paraId="021B733A"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6AC7717C" w14:textId="77777777" w:rsidR="00E7030C" w:rsidRDefault="00000000" w:rsidP="00E216C6">
            <w:pPr>
              <w:spacing w:line="204" w:lineRule="auto"/>
            </w:pPr>
            <w:r>
              <w:rPr>
                <w:color w:val="222222"/>
                <w:sz w:val="18"/>
                <w:szCs w:val="18"/>
              </w:rPr>
              <w:t>Tier-2 RM placement takes longer than planned</w:t>
            </w:r>
          </w:p>
        </w:tc>
        <w:tc>
          <w:tcPr>
            <w:tcW w:w="11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00599B49" w14:textId="77777777" w:rsidR="00E7030C" w:rsidRDefault="00000000" w:rsidP="00E216C6">
            <w:pPr>
              <w:spacing w:line="204" w:lineRule="auto"/>
            </w:pPr>
            <w:r>
              <w:rPr>
                <w:color w:val="222222"/>
                <w:sz w:val="18"/>
                <w:szCs w:val="18"/>
              </w:rPr>
              <w:t>Operational</w:t>
            </w:r>
          </w:p>
        </w:tc>
        <w:tc>
          <w:tcPr>
            <w:tcW w:w="9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08A6EF1A" w14:textId="77777777" w:rsidR="00E7030C" w:rsidRDefault="00000000" w:rsidP="00E216C6">
            <w:pPr>
              <w:spacing w:line="204" w:lineRule="auto"/>
              <w:jc w:val="center"/>
            </w:pPr>
            <w:r>
              <w:rPr>
                <w:color w:val="222222"/>
                <w:sz w:val="18"/>
                <w:szCs w:val="18"/>
              </w:rPr>
              <w:t>Medium</w:t>
            </w:r>
          </w:p>
        </w:tc>
        <w:tc>
          <w:tcPr>
            <w:tcW w:w="98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072F790A" w14:textId="77777777" w:rsidR="00E7030C" w:rsidRDefault="00000000" w:rsidP="00E216C6">
            <w:pPr>
              <w:spacing w:line="204" w:lineRule="auto"/>
              <w:jc w:val="center"/>
            </w:pPr>
            <w:r>
              <w:rPr>
                <w:color w:val="222222"/>
                <w:sz w:val="18"/>
                <w:szCs w:val="18"/>
              </w:rPr>
              <w:t>Medium</w:t>
            </w:r>
          </w:p>
        </w:tc>
        <w:tc>
          <w:tcPr>
            <w:tcW w:w="432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43432627" w14:textId="77777777" w:rsidR="00E7030C" w:rsidRDefault="00000000" w:rsidP="00E216C6">
            <w:pPr>
              <w:spacing w:line="204" w:lineRule="auto"/>
            </w:pPr>
            <w:r>
              <w:rPr>
                <w:color w:val="222222"/>
                <w:sz w:val="18"/>
                <w:szCs w:val="18"/>
              </w:rPr>
              <w:t>App and WhatsApp outreach runs in Tier-2 cities while physical RM hiring is in progress.</w:t>
            </w:r>
          </w:p>
        </w:tc>
      </w:tr>
      <w:tr w:rsidR="00E7030C" w14:paraId="266A8CB3" w14:textId="77777777">
        <w:tc>
          <w:tcPr>
            <w:tcW w:w="27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72202879" w14:textId="77777777" w:rsidR="00E7030C" w:rsidRDefault="00000000" w:rsidP="00E216C6">
            <w:pPr>
              <w:spacing w:line="204" w:lineRule="auto"/>
            </w:pPr>
            <w:r>
              <w:rPr>
                <w:color w:val="222222"/>
                <w:sz w:val="18"/>
                <w:szCs w:val="18"/>
              </w:rPr>
              <w:t>Women's product sees low uptake in first quarter</w:t>
            </w:r>
          </w:p>
        </w:tc>
        <w:tc>
          <w:tcPr>
            <w:tcW w:w="11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56BD90D6" w14:textId="77777777" w:rsidR="00E7030C" w:rsidRDefault="00000000" w:rsidP="00E216C6">
            <w:pPr>
              <w:spacing w:line="204" w:lineRule="auto"/>
            </w:pPr>
            <w:r>
              <w:rPr>
                <w:color w:val="222222"/>
                <w:sz w:val="18"/>
                <w:szCs w:val="18"/>
              </w:rPr>
              <w:t>Reputational</w:t>
            </w:r>
          </w:p>
        </w:tc>
        <w:tc>
          <w:tcPr>
            <w:tcW w:w="9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416A3B48" w14:textId="77777777" w:rsidR="00E7030C" w:rsidRDefault="00000000" w:rsidP="00E216C6">
            <w:pPr>
              <w:spacing w:line="204" w:lineRule="auto"/>
              <w:jc w:val="center"/>
            </w:pPr>
            <w:r>
              <w:rPr>
                <w:color w:val="222222"/>
                <w:sz w:val="18"/>
                <w:szCs w:val="18"/>
              </w:rPr>
              <w:t>Medium</w:t>
            </w:r>
          </w:p>
        </w:tc>
        <w:tc>
          <w:tcPr>
            <w:tcW w:w="98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23711552" w14:textId="77777777" w:rsidR="00E7030C" w:rsidRDefault="00000000" w:rsidP="00E216C6">
            <w:pPr>
              <w:spacing w:line="204" w:lineRule="auto"/>
              <w:jc w:val="center"/>
            </w:pPr>
            <w:r>
              <w:rPr>
                <w:color w:val="222222"/>
                <w:sz w:val="18"/>
                <w:szCs w:val="18"/>
              </w:rPr>
              <w:t>Low</w:t>
            </w:r>
          </w:p>
        </w:tc>
        <w:tc>
          <w:tcPr>
            <w:tcW w:w="4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444BAE4D" w14:textId="77777777" w:rsidR="00E7030C" w:rsidRDefault="00000000" w:rsidP="00E216C6">
            <w:pPr>
              <w:spacing w:line="204" w:lineRule="auto"/>
            </w:pPr>
            <w:r>
              <w:rPr>
                <w:color w:val="222222"/>
                <w:sz w:val="18"/>
                <w:szCs w:val="18"/>
              </w:rPr>
              <w:t>Co-brand the launch with a local institution. Track awareness separately from uptake so the issue is diagnosed correctly.</w:t>
            </w:r>
          </w:p>
        </w:tc>
      </w:tr>
    </w:tbl>
    <w:p w14:paraId="60A488DD" w14:textId="77777777" w:rsidR="00E7030C" w:rsidRDefault="00E7030C" w:rsidP="00E216C6">
      <w:pPr>
        <w:spacing w:before="60" w:line="204" w:lineRule="auto"/>
      </w:pPr>
    </w:p>
    <w:p w14:paraId="5B43B298" w14:textId="77777777" w:rsidR="00C94EE8" w:rsidRDefault="00C94EE8" w:rsidP="00E216C6">
      <w:pPr>
        <w:spacing w:before="60" w:line="204" w:lineRule="auto"/>
      </w:pPr>
    </w:p>
    <w:p w14:paraId="31912EF5" w14:textId="77777777" w:rsidR="00C94EE8" w:rsidRDefault="00C94EE8" w:rsidP="00E216C6">
      <w:pPr>
        <w:spacing w:before="60" w:line="204" w:lineRule="auto"/>
      </w:pPr>
    </w:p>
    <w:p w14:paraId="23237E53" w14:textId="77777777" w:rsidR="00E7030C" w:rsidRDefault="00000000" w:rsidP="00E216C6">
      <w:pPr>
        <w:pBdr>
          <w:bottom w:val="single" w:sz="5" w:space="1" w:color="2E75B6"/>
        </w:pBdr>
        <w:spacing w:before="220" w:after="50" w:line="204" w:lineRule="auto"/>
      </w:pPr>
      <w:r>
        <w:rPr>
          <w:b/>
          <w:bCs/>
          <w:caps/>
          <w:color w:val="1F4E79"/>
          <w:sz w:val="26"/>
          <w:szCs w:val="26"/>
        </w:rPr>
        <w:lastRenderedPageBreak/>
        <w:t>5. Implementation Sequence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320"/>
        <w:gridCol w:w="3800"/>
        <w:gridCol w:w="3300"/>
      </w:tblGrid>
      <w:tr w:rsidR="00E7030C" w14:paraId="4E71A5CC" w14:textId="77777777">
        <w:tc>
          <w:tcPr>
            <w:tcW w:w="166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23B1E92E" w14:textId="77777777" w:rsidR="00E7030C" w:rsidRDefault="00000000" w:rsidP="00E216C6">
            <w:pPr>
              <w:spacing w:line="204" w:lineRule="auto"/>
            </w:pPr>
            <w:r>
              <w:rPr>
                <w:b/>
                <w:bCs/>
                <w:color w:val="FFFFFF"/>
                <w:sz w:val="18"/>
                <w:szCs w:val="18"/>
              </w:rPr>
              <w:t>Phase</w:t>
            </w:r>
          </w:p>
        </w:tc>
        <w:tc>
          <w:tcPr>
            <w:tcW w:w="132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7B4B57EF" w14:textId="77777777" w:rsidR="00E7030C" w:rsidRDefault="00000000" w:rsidP="00E216C6">
            <w:pPr>
              <w:spacing w:line="204" w:lineRule="auto"/>
            </w:pPr>
            <w:r>
              <w:rPr>
                <w:b/>
                <w:bCs/>
                <w:color w:val="FFFFFF"/>
                <w:sz w:val="18"/>
                <w:szCs w:val="18"/>
              </w:rPr>
              <w:t>Window</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14795DF1" w14:textId="77777777" w:rsidR="00E7030C" w:rsidRDefault="00000000" w:rsidP="00E216C6">
            <w:pPr>
              <w:spacing w:line="204" w:lineRule="auto"/>
            </w:pPr>
            <w:r>
              <w:rPr>
                <w:b/>
                <w:bCs/>
                <w:color w:val="FFFFFF"/>
                <w:sz w:val="18"/>
                <w:szCs w:val="18"/>
              </w:rPr>
              <w:t>What gets done</w:t>
            </w:r>
          </w:p>
        </w:tc>
        <w:tc>
          <w:tcPr>
            <w:tcW w:w="33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0F15B29B" w14:textId="77777777" w:rsidR="00E7030C" w:rsidRDefault="00000000" w:rsidP="00E216C6">
            <w:pPr>
              <w:spacing w:line="204" w:lineRule="auto"/>
            </w:pPr>
            <w:r>
              <w:rPr>
                <w:b/>
                <w:bCs/>
                <w:color w:val="FFFFFF"/>
                <w:sz w:val="18"/>
                <w:szCs w:val="18"/>
              </w:rPr>
              <w:t>What changes</w:t>
            </w:r>
          </w:p>
        </w:tc>
      </w:tr>
      <w:tr w:rsidR="00E7030C" w14:paraId="7E4DF596" w14:textId="77777777">
        <w:tc>
          <w:tcPr>
            <w:tcW w:w="16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78F25381" w14:textId="53BA39B8" w:rsidR="00E7030C" w:rsidRDefault="00000000" w:rsidP="00E216C6">
            <w:pPr>
              <w:spacing w:line="204" w:lineRule="auto"/>
            </w:pPr>
            <w:r>
              <w:rPr>
                <w:b/>
                <w:bCs/>
                <w:color w:val="222222"/>
                <w:sz w:val="18"/>
                <w:szCs w:val="18"/>
              </w:rPr>
              <w:t xml:space="preserve">Phase 1 </w:t>
            </w:r>
            <w:r w:rsidR="006F223D">
              <w:rPr>
                <w:b/>
                <w:bCs/>
                <w:color w:val="222222"/>
                <w:sz w:val="18"/>
                <w:szCs w:val="18"/>
              </w:rPr>
              <w:br/>
            </w:r>
            <w:r>
              <w:rPr>
                <w:b/>
                <w:bCs/>
                <w:color w:val="222222"/>
                <w:sz w:val="18"/>
                <w:szCs w:val="18"/>
              </w:rPr>
              <w:t>Credit Governance</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037A7840" w14:textId="77777777" w:rsidR="00E7030C" w:rsidRDefault="00000000" w:rsidP="00E216C6">
            <w:pPr>
              <w:spacing w:line="204" w:lineRule="auto"/>
            </w:pPr>
            <w:r>
              <w:rPr>
                <w:color w:val="222222"/>
                <w:sz w:val="18"/>
                <w:szCs w:val="18"/>
              </w:rPr>
              <w:t>Days 0–30</w:t>
            </w:r>
          </w:p>
        </w:tc>
        <w:tc>
          <w:tcPr>
            <w:tcW w:w="38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0C63D072" w14:textId="77777777" w:rsidR="00E7030C" w:rsidRDefault="00000000" w:rsidP="00E216C6">
            <w:pPr>
              <w:spacing w:line="204" w:lineRule="auto"/>
            </w:pPr>
            <w:r>
              <w:rPr>
                <w:color w:val="222222"/>
                <w:sz w:val="18"/>
                <w:szCs w:val="18"/>
              </w:rPr>
              <w:t xml:space="preserve">CIBIL 650 floor enforced on all new card approvals. EWS activated for clients missing </w:t>
            </w:r>
            <w:proofErr w:type="spellStart"/>
            <w:r>
              <w:rPr>
                <w:color w:val="222222"/>
                <w:sz w:val="18"/>
                <w:szCs w:val="18"/>
              </w:rPr>
              <w:t>installments</w:t>
            </w:r>
            <w:proofErr w:type="spellEnd"/>
            <w:r>
              <w:rPr>
                <w:color w:val="222222"/>
                <w:sz w:val="18"/>
                <w:szCs w:val="18"/>
              </w:rPr>
              <w:t>. Every High Priority client gets a named RM. YoY Account Growth DAX measure deployed.</w:t>
            </w:r>
          </w:p>
        </w:tc>
        <w:tc>
          <w:tcPr>
            <w:tcW w:w="33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6C406ACC" w14:textId="77777777" w:rsidR="00E7030C" w:rsidRDefault="00000000" w:rsidP="00E216C6">
            <w:pPr>
              <w:spacing w:line="204" w:lineRule="auto"/>
            </w:pPr>
            <w:r>
              <w:rPr>
                <w:color w:val="222222"/>
                <w:sz w:val="18"/>
                <w:szCs w:val="18"/>
              </w:rPr>
              <w:t>Forward NPA risk drops immediately. Card portfolio quality stops deteriorating. High Priority segment has coverage for the first time.</w:t>
            </w:r>
          </w:p>
        </w:tc>
      </w:tr>
      <w:tr w:rsidR="00E7030C" w14:paraId="57158312" w14:textId="77777777">
        <w:tc>
          <w:tcPr>
            <w:tcW w:w="16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0FD387D6" w14:textId="2A451BEA" w:rsidR="00E7030C" w:rsidRDefault="00000000" w:rsidP="00E216C6">
            <w:pPr>
              <w:spacing w:line="204" w:lineRule="auto"/>
            </w:pPr>
            <w:r>
              <w:rPr>
                <w:b/>
                <w:bCs/>
                <w:color w:val="222222"/>
                <w:sz w:val="18"/>
                <w:szCs w:val="18"/>
              </w:rPr>
              <w:t xml:space="preserve">Phase 2 </w:t>
            </w:r>
            <w:r w:rsidR="006F223D">
              <w:rPr>
                <w:b/>
                <w:bCs/>
                <w:color w:val="222222"/>
                <w:sz w:val="18"/>
                <w:szCs w:val="18"/>
              </w:rPr>
              <w:br/>
            </w:r>
            <w:r>
              <w:rPr>
                <w:b/>
                <w:bCs/>
                <w:color w:val="222222"/>
                <w:sz w:val="18"/>
                <w:szCs w:val="18"/>
              </w:rPr>
              <w:t>Products &amp; Analytics</w:t>
            </w:r>
          </w:p>
        </w:tc>
        <w:tc>
          <w:tcPr>
            <w:tcW w:w="1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410ED876" w14:textId="77777777" w:rsidR="00E7030C" w:rsidRDefault="00000000" w:rsidP="00E216C6">
            <w:pPr>
              <w:spacing w:line="204" w:lineRule="auto"/>
            </w:pPr>
            <w:r>
              <w:rPr>
                <w:color w:val="222222"/>
                <w:sz w:val="18"/>
                <w:szCs w:val="18"/>
              </w:rPr>
              <w:t>Days 30–90</w:t>
            </w:r>
          </w:p>
        </w:tc>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7192F7C9" w14:textId="77777777" w:rsidR="00E7030C" w:rsidRDefault="00000000" w:rsidP="00E216C6">
            <w:pPr>
              <w:spacing w:line="204" w:lineRule="auto"/>
            </w:pPr>
            <w:r>
              <w:rPr>
                <w:color w:val="222222"/>
                <w:sz w:val="18"/>
                <w:szCs w:val="18"/>
              </w:rPr>
              <w:t>Women's savings scheme and entrepreneur loan launched. Merchant cashback negotiations opened with Flipkart, Myntra, Amazon, Uber. Five additional DAX measures built. Complaint resolution view added to Page 3. Digital channel trend added to Page 4.</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2E38E0D1" w14:textId="77777777" w:rsidR="00E7030C" w:rsidRDefault="00000000" w:rsidP="00E216C6">
            <w:pPr>
              <w:spacing w:line="204" w:lineRule="auto"/>
            </w:pPr>
            <w:r>
              <w:rPr>
                <w:color w:val="222222"/>
                <w:sz w:val="18"/>
                <w:szCs w:val="18"/>
              </w:rPr>
              <w:t xml:space="preserve">Female segment has a product to rally around. Card </w:t>
            </w:r>
            <w:proofErr w:type="gramStart"/>
            <w:r>
              <w:rPr>
                <w:color w:val="222222"/>
                <w:sz w:val="18"/>
                <w:szCs w:val="18"/>
              </w:rPr>
              <w:t>spend</w:t>
            </w:r>
            <w:proofErr w:type="gramEnd"/>
            <w:r>
              <w:rPr>
                <w:color w:val="222222"/>
                <w:sz w:val="18"/>
                <w:szCs w:val="18"/>
              </w:rPr>
              <w:t xml:space="preserve"> starts shifting on cashback incentive. Dashboard moves from descriptive to operational.</w:t>
            </w:r>
          </w:p>
        </w:tc>
      </w:tr>
      <w:tr w:rsidR="00E7030C" w14:paraId="321A6234" w14:textId="77777777">
        <w:tc>
          <w:tcPr>
            <w:tcW w:w="16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6F523EE0" w14:textId="384CB234" w:rsidR="00E7030C" w:rsidRDefault="00000000" w:rsidP="00E216C6">
            <w:pPr>
              <w:spacing w:line="204" w:lineRule="auto"/>
            </w:pPr>
            <w:r>
              <w:rPr>
                <w:b/>
                <w:bCs/>
                <w:color w:val="222222"/>
                <w:sz w:val="18"/>
                <w:szCs w:val="18"/>
              </w:rPr>
              <w:t xml:space="preserve">Phase 3 </w:t>
            </w:r>
            <w:r w:rsidR="006F223D">
              <w:rPr>
                <w:b/>
                <w:bCs/>
                <w:color w:val="222222"/>
                <w:sz w:val="18"/>
                <w:szCs w:val="18"/>
              </w:rPr>
              <w:br/>
            </w:r>
            <w:r>
              <w:rPr>
                <w:b/>
                <w:bCs/>
                <w:color w:val="222222"/>
                <w:sz w:val="18"/>
                <w:szCs w:val="18"/>
              </w:rPr>
              <w:t>Tier-2 Rollout</w:t>
            </w:r>
          </w:p>
        </w:tc>
        <w:tc>
          <w:tcPr>
            <w:tcW w:w="132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41430273" w14:textId="77777777" w:rsidR="00E7030C" w:rsidRDefault="00000000" w:rsidP="00E216C6">
            <w:pPr>
              <w:spacing w:line="204" w:lineRule="auto"/>
            </w:pPr>
            <w:r>
              <w:rPr>
                <w:color w:val="222222"/>
                <w:sz w:val="18"/>
                <w:szCs w:val="18"/>
              </w:rPr>
              <w:t>Days 90–180</w:t>
            </w:r>
          </w:p>
        </w:tc>
        <w:tc>
          <w:tcPr>
            <w:tcW w:w="38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42C1BEFC" w14:textId="77777777" w:rsidR="00E7030C" w:rsidRDefault="00000000" w:rsidP="00E216C6">
            <w:pPr>
              <w:spacing w:line="204" w:lineRule="auto"/>
            </w:pPr>
            <w:r>
              <w:rPr>
                <w:color w:val="222222"/>
                <w:sz w:val="18"/>
                <w:szCs w:val="18"/>
              </w:rPr>
              <w:t>Hyper-local engagement goes live in top 5 Tier-2 cities. Page 5 enhancements: RM-level AUM targets, client drill-through. Geographic map visual added.</w:t>
            </w:r>
          </w:p>
        </w:tc>
        <w:tc>
          <w:tcPr>
            <w:tcW w:w="33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1DC88EC8" w14:textId="77777777" w:rsidR="00E7030C" w:rsidRDefault="00000000" w:rsidP="00E216C6">
            <w:pPr>
              <w:spacing w:line="204" w:lineRule="auto"/>
            </w:pPr>
            <w:r>
              <w:rPr>
                <w:color w:val="222222"/>
                <w:sz w:val="18"/>
                <w:szCs w:val="18"/>
              </w:rPr>
              <w:t>Potential Category clients in Tier-2 start moving up the value chain. AUM tracking by RM and city becomes a management tool, not just a chart.</w:t>
            </w:r>
          </w:p>
        </w:tc>
      </w:tr>
      <w:tr w:rsidR="00E7030C" w14:paraId="28500284" w14:textId="77777777">
        <w:tc>
          <w:tcPr>
            <w:tcW w:w="16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39362CAC" w14:textId="715D58B1" w:rsidR="00E7030C" w:rsidRDefault="00000000" w:rsidP="00E216C6">
            <w:pPr>
              <w:spacing w:line="204" w:lineRule="auto"/>
            </w:pPr>
            <w:r>
              <w:rPr>
                <w:b/>
                <w:bCs/>
                <w:color w:val="222222"/>
                <w:sz w:val="18"/>
                <w:szCs w:val="18"/>
              </w:rPr>
              <w:t xml:space="preserve">Phase 4 </w:t>
            </w:r>
            <w:r w:rsidR="006F223D">
              <w:rPr>
                <w:b/>
                <w:bCs/>
                <w:color w:val="222222"/>
                <w:sz w:val="18"/>
                <w:szCs w:val="18"/>
              </w:rPr>
              <w:br/>
            </w:r>
            <w:r>
              <w:rPr>
                <w:b/>
                <w:bCs/>
                <w:color w:val="222222"/>
                <w:sz w:val="18"/>
                <w:szCs w:val="18"/>
              </w:rPr>
              <w:t>Analytical Build-Out</w:t>
            </w:r>
          </w:p>
        </w:tc>
        <w:tc>
          <w:tcPr>
            <w:tcW w:w="132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6E5C9CC5" w14:textId="77777777" w:rsidR="00E7030C" w:rsidRDefault="00000000" w:rsidP="00E216C6">
            <w:pPr>
              <w:spacing w:line="204" w:lineRule="auto"/>
            </w:pPr>
            <w:r>
              <w:rPr>
                <w:color w:val="222222"/>
                <w:sz w:val="18"/>
                <w:szCs w:val="18"/>
              </w:rPr>
              <w:t>Days 180+</w:t>
            </w:r>
          </w:p>
        </w:tc>
        <w:tc>
          <w:tcPr>
            <w:tcW w:w="38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71F72D0C" w14:textId="77777777" w:rsidR="00E7030C" w:rsidRDefault="00000000" w:rsidP="00E216C6">
            <w:pPr>
              <w:spacing w:line="204" w:lineRule="auto"/>
            </w:pPr>
            <w:r>
              <w:rPr>
                <w:color w:val="222222"/>
                <w:sz w:val="18"/>
                <w:szCs w:val="18"/>
              </w:rPr>
              <w:t>RM productivity scorecard deployed. What-If scenario analysis for loan interest rates added. Financial literacy programme rolls out in high female-density cities.</w:t>
            </w:r>
          </w:p>
        </w:tc>
        <w:tc>
          <w:tcPr>
            <w:tcW w:w="3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32880C63" w14:textId="77777777" w:rsidR="00E7030C" w:rsidRDefault="00000000" w:rsidP="00E216C6">
            <w:pPr>
              <w:spacing w:line="204" w:lineRule="auto"/>
            </w:pPr>
            <w:r>
              <w:rPr>
                <w:color w:val="222222"/>
                <w:sz w:val="18"/>
                <w:szCs w:val="18"/>
              </w:rPr>
              <w:t>AUM growth becomes measurable at the RM level. Planning decisions (pricing, branch sizing) have a data input. Female segment deepens.</w:t>
            </w:r>
          </w:p>
        </w:tc>
      </w:tr>
    </w:tbl>
    <w:p w14:paraId="207D3F8C" w14:textId="77777777" w:rsidR="00E7030C" w:rsidRDefault="00E7030C" w:rsidP="00E216C6">
      <w:pPr>
        <w:spacing w:before="60" w:line="204" w:lineRule="auto"/>
      </w:pPr>
    </w:p>
    <w:p w14:paraId="7FFB9D2C" w14:textId="77777777" w:rsidR="00E7030C" w:rsidRDefault="00000000" w:rsidP="00E216C6">
      <w:pPr>
        <w:pBdr>
          <w:bottom w:val="single" w:sz="5" w:space="1" w:color="2E75B6"/>
        </w:pBdr>
        <w:spacing w:before="220" w:after="50" w:line="204" w:lineRule="auto"/>
      </w:pPr>
      <w:r>
        <w:rPr>
          <w:b/>
          <w:bCs/>
          <w:caps/>
          <w:color w:val="1F4E79"/>
          <w:sz w:val="26"/>
          <w:szCs w:val="26"/>
        </w:rPr>
        <w:t>6. Expected Outcomes by Recommendation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1700"/>
        <w:gridCol w:w="1200"/>
        <w:gridCol w:w="1260"/>
        <w:gridCol w:w="1360"/>
        <w:gridCol w:w="2300"/>
      </w:tblGrid>
      <w:tr w:rsidR="00E7030C" w14:paraId="46BA34AE" w14:textId="77777777">
        <w:tc>
          <w:tcPr>
            <w:tcW w:w="226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72C98D7A" w14:textId="77777777" w:rsidR="00E7030C" w:rsidRDefault="00000000" w:rsidP="00E216C6">
            <w:pPr>
              <w:spacing w:line="204" w:lineRule="auto"/>
            </w:pPr>
            <w:r>
              <w:rPr>
                <w:b/>
                <w:bCs/>
                <w:color w:val="FFFFFF"/>
                <w:sz w:val="18"/>
                <w:szCs w:val="18"/>
              </w:rPr>
              <w:t>Recommendation</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3945821F" w14:textId="77777777" w:rsidR="00E7030C" w:rsidRDefault="00000000" w:rsidP="00E216C6">
            <w:pPr>
              <w:spacing w:line="204" w:lineRule="auto"/>
            </w:pPr>
            <w:r>
              <w:rPr>
                <w:b/>
                <w:bCs/>
                <w:color w:val="FFFFFF"/>
                <w:sz w:val="18"/>
                <w:szCs w:val="18"/>
              </w:rPr>
              <w:t>KPI</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3A9DC264" w14:textId="77777777" w:rsidR="00E7030C" w:rsidRDefault="00000000" w:rsidP="00E216C6">
            <w:pPr>
              <w:spacing w:line="204" w:lineRule="auto"/>
              <w:jc w:val="center"/>
            </w:pPr>
            <w:r>
              <w:rPr>
                <w:b/>
                <w:bCs/>
                <w:color w:val="FFFFFF"/>
                <w:sz w:val="18"/>
                <w:szCs w:val="18"/>
              </w:rPr>
              <w:t>Starting Point</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51375C14" w14:textId="77777777" w:rsidR="00E7030C" w:rsidRDefault="00000000" w:rsidP="00E216C6">
            <w:pPr>
              <w:spacing w:line="204" w:lineRule="auto"/>
              <w:jc w:val="center"/>
            </w:pPr>
            <w:r>
              <w:rPr>
                <w:b/>
                <w:bCs/>
                <w:color w:val="FFFFFF"/>
                <w:sz w:val="18"/>
                <w:szCs w:val="18"/>
              </w:rPr>
              <w:t>Target</w:t>
            </w:r>
          </w:p>
        </w:tc>
        <w:tc>
          <w:tcPr>
            <w:tcW w:w="136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53D45EBB" w14:textId="77777777" w:rsidR="00E7030C" w:rsidRDefault="00000000" w:rsidP="00E216C6">
            <w:pPr>
              <w:spacing w:line="204" w:lineRule="auto"/>
              <w:jc w:val="center"/>
            </w:pPr>
            <w:r>
              <w:rPr>
                <w:b/>
                <w:bCs/>
                <w:color w:val="FFFFFF"/>
                <w:sz w:val="18"/>
                <w:szCs w:val="18"/>
              </w:rPr>
              <w:t>Window</w:t>
            </w:r>
          </w:p>
        </w:tc>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10" w:type="dxa"/>
              <w:bottom w:w="70" w:type="dxa"/>
              <w:right w:w="110" w:type="dxa"/>
            </w:tcMar>
          </w:tcPr>
          <w:p w14:paraId="15430241" w14:textId="77777777" w:rsidR="00E7030C" w:rsidRDefault="00000000" w:rsidP="00E216C6">
            <w:pPr>
              <w:spacing w:line="204" w:lineRule="auto"/>
            </w:pPr>
            <w:r>
              <w:rPr>
                <w:b/>
                <w:bCs/>
                <w:color w:val="FFFFFF"/>
                <w:sz w:val="18"/>
                <w:szCs w:val="18"/>
              </w:rPr>
              <w:t>Financial Read</w:t>
            </w:r>
          </w:p>
        </w:tc>
      </w:tr>
      <w:tr w:rsidR="00E7030C" w14:paraId="63791CD1" w14:textId="77777777">
        <w:tc>
          <w:tcPr>
            <w:tcW w:w="22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7083D279" w14:textId="39703C02" w:rsidR="00E7030C" w:rsidRDefault="00000000" w:rsidP="00E216C6">
            <w:pPr>
              <w:spacing w:line="204" w:lineRule="auto"/>
            </w:pPr>
            <w:r>
              <w:rPr>
                <w:color w:val="222222"/>
                <w:sz w:val="18"/>
                <w:szCs w:val="18"/>
              </w:rPr>
              <w:t>Tier-2 Engagement</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0C2E4EF1" w14:textId="77777777" w:rsidR="00E7030C" w:rsidRDefault="00000000" w:rsidP="00E216C6">
            <w:pPr>
              <w:spacing w:line="204" w:lineRule="auto"/>
            </w:pPr>
            <w:r>
              <w:rPr>
                <w:color w:val="222222"/>
                <w:sz w:val="18"/>
                <w:szCs w:val="18"/>
              </w:rPr>
              <w:t>AUM — Tier-2 Branches</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67972514" w14:textId="77777777" w:rsidR="00E7030C" w:rsidRDefault="00000000" w:rsidP="00E216C6">
            <w:pPr>
              <w:spacing w:line="204" w:lineRule="auto"/>
              <w:jc w:val="center"/>
            </w:pPr>
            <w:r>
              <w:rPr>
                <w:color w:val="222222"/>
                <w:sz w:val="18"/>
                <w:szCs w:val="18"/>
              </w:rPr>
              <w:t>Current base</w:t>
            </w:r>
          </w:p>
        </w:tc>
        <w:tc>
          <w:tcPr>
            <w:tcW w:w="12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2C764C94" w14:textId="77777777" w:rsidR="00E7030C" w:rsidRDefault="00000000" w:rsidP="00E216C6">
            <w:pPr>
              <w:spacing w:line="204" w:lineRule="auto"/>
              <w:jc w:val="center"/>
            </w:pPr>
            <w:r>
              <w:rPr>
                <w:color w:val="222222"/>
                <w:sz w:val="18"/>
                <w:szCs w:val="18"/>
              </w:rPr>
              <w:t>+15–20%</w:t>
            </w:r>
          </w:p>
        </w:tc>
        <w:tc>
          <w:tcPr>
            <w:tcW w:w="13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51649B36" w14:textId="77777777" w:rsidR="00E7030C" w:rsidRDefault="00000000" w:rsidP="00E216C6">
            <w:pPr>
              <w:spacing w:line="204" w:lineRule="auto"/>
              <w:jc w:val="center"/>
            </w:pPr>
            <w:r>
              <w:rPr>
                <w:color w:val="222222"/>
                <w:sz w:val="18"/>
                <w:szCs w:val="18"/>
              </w:rPr>
              <w:t>6 months</w:t>
            </w:r>
          </w:p>
        </w:tc>
        <w:tc>
          <w:tcPr>
            <w:tcW w:w="23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1BA35178" w14:textId="77777777" w:rsidR="00E7030C" w:rsidRDefault="00000000" w:rsidP="00E216C6">
            <w:pPr>
              <w:spacing w:line="204" w:lineRule="auto"/>
            </w:pPr>
            <w:r>
              <w:rPr>
                <w:color w:val="222222"/>
                <w:sz w:val="18"/>
                <w:szCs w:val="18"/>
              </w:rPr>
              <w:t>INR 20–40 Cr AUM uplift</w:t>
            </w:r>
          </w:p>
        </w:tc>
      </w:tr>
      <w:tr w:rsidR="00E7030C" w14:paraId="4477A6B4" w14:textId="77777777">
        <w:tc>
          <w:tcPr>
            <w:tcW w:w="22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38536EEB" w14:textId="21BAEABD" w:rsidR="00E7030C" w:rsidRDefault="00000000" w:rsidP="00E216C6">
            <w:pPr>
              <w:spacing w:line="204" w:lineRule="auto"/>
            </w:pPr>
            <w:r>
              <w:rPr>
                <w:color w:val="222222"/>
                <w:sz w:val="18"/>
                <w:szCs w:val="18"/>
              </w:rPr>
              <w:t>RM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73D303E9" w14:textId="77777777" w:rsidR="00E7030C" w:rsidRDefault="00000000" w:rsidP="00E216C6">
            <w:pPr>
              <w:spacing w:line="204" w:lineRule="auto"/>
            </w:pPr>
            <w:r>
              <w:rPr>
                <w:color w:val="222222"/>
                <w:sz w:val="18"/>
                <w:szCs w:val="18"/>
              </w:rPr>
              <w:t>Investment Conversion Rate</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0149F9FC" w14:textId="77777777" w:rsidR="00E7030C" w:rsidRDefault="00000000" w:rsidP="00E216C6">
            <w:pPr>
              <w:spacing w:line="204" w:lineRule="auto"/>
              <w:jc w:val="center"/>
            </w:pPr>
            <w:r>
              <w:rPr>
                <w:color w:val="222222"/>
                <w:sz w:val="18"/>
                <w:szCs w:val="18"/>
              </w:rPr>
              <w:t>&lt;50% covered</w:t>
            </w:r>
          </w:p>
        </w:tc>
        <w:tc>
          <w:tcPr>
            <w:tcW w:w="12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0E07E13C" w14:textId="77777777" w:rsidR="00E7030C" w:rsidRDefault="00000000" w:rsidP="00E216C6">
            <w:pPr>
              <w:spacing w:line="204" w:lineRule="auto"/>
              <w:jc w:val="center"/>
            </w:pPr>
            <w:r>
              <w:rPr>
                <w:color w:val="222222"/>
                <w:sz w:val="18"/>
                <w:szCs w:val="18"/>
              </w:rPr>
              <w:t>100%</w:t>
            </w:r>
          </w:p>
        </w:tc>
        <w:tc>
          <w:tcPr>
            <w:tcW w:w="13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5F588679" w14:textId="77777777" w:rsidR="00E7030C" w:rsidRDefault="00000000" w:rsidP="00E216C6">
            <w:pPr>
              <w:spacing w:line="204" w:lineRule="auto"/>
              <w:jc w:val="center"/>
            </w:pPr>
            <w:r>
              <w:rPr>
                <w:color w:val="222222"/>
                <w:sz w:val="18"/>
                <w:szCs w:val="18"/>
              </w:rPr>
              <w:t>30 days</w:t>
            </w:r>
          </w:p>
        </w:tc>
        <w:tc>
          <w:tcPr>
            <w:tcW w:w="2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622BC6D4" w14:textId="77777777" w:rsidR="00E7030C" w:rsidRDefault="00000000" w:rsidP="00E216C6">
            <w:pPr>
              <w:spacing w:line="204" w:lineRule="auto"/>
            </w:pPr>
            <w:r>
              <w:rPr>
                <w:color w:val="222222"/>
                <w:sz w:val="18"/>
                <w:szCs w:val="18"/>
              </w:rPr>
              <w:t>INR 2–3 Cr fee income p.a.</w:t>
            </w:r>
          </w:p>
        </w:tc>
      </w:tr>
      <w:tr w:rsidR="00E7030C" w14:paraId="04D65AFF" w14:textId="77777777">
        <w:tc>
          <w:tcPr>
            <w:tcW w:w="22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3D43329D" w14:textId="1ACC13E7" w:rsidR="00E7030C" w:rsidRDefault="00000000" w:rsidP="00E216C6">
            <w:pPr>
              <w:spacing w:line="204" w:lineRule="auto"/>
            </w:pPr>
            <w:r>
              <w:rPr>
                <w:color w:val="222222"/>
                <w:sz w:val="18"/>
                <w:szCs w:val="18"/>
              </w:rPr>
              <w:t>Women's Products</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55F9881A" w14:textId="77777777" w:rsidR="00E7030C" w:rsidRDefault="00000000" w:rsidP="00E216C6">
            <w:pPr>
              <w:spacing w:line="204" w:lineRule="auto"/>
            </w:pPr>
            <w:r>
              <w:rPr>
                <w:color w:val="222222"/>
                <w:sz w:val="18"/>
                <w:szCs w:val="18"/>
              </w:rPr>
              <w:t>Female Deposit Balance</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60E729D5" w14:textId="77777777" w:rsidR="00E7030C" w:rsidRDefault="00000000" w:rsidP="00E216C6">
            <w:pPr>
              <w:spacing w:line="204" w:lineRule="auto"/>
              <w:jc w:val="center"/>
            </w:pPr>
            <w:r>
              <w:rPr>
                <w:color w:val="222222"/>
                <w:sz w:val="18"/>
                <w:szCs w:val="18"/>
              </w:rPr>
              <w:t>Current base</w:t>
            </w:r>
          </w:p>
        </w:tc>
        <w:tc>
          <w:tcPr>
            <w:tcW w:w="12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1F3CA8CC" w14:textId="77777777" w:rsidR="00E7030C" w:rsidRDefault="00000000" w:rsidP="00E216C6">
            <w:pPr>
              <w:spacing w:line="204" w:lineRule="auto"/>
              <w:jc w:val="center"/>
            </w:pPr>
            <w:r>
              <w:rPr>
                <w:color w:val="222222"/>
                <w:sz w:val="18"/>
                <w:szCs w:val="18"/>
              </w:rPr>
              <w:t>+10–15%</w:t>
            </w:r>
          </w:p>
        </w:tc>
        <w:tc>
          <w:tcPr>
            <w:tcW w:w="13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75245A78" w14:textId="77777777" w:rsidR="00E7030C" w:rsidRDefault="00000000" w:rsidP="00E216C6">
            <w:pPr>
              <w:spacing w:line="204" w:lineRule="auto"/>
              <w:jc w:val="center"/>
            </w:pPr>
            <w:r>
              <w:rPr>
                <w:color w:val="222222"/>
                <w:sz w:val="18"/>
                <w:szCs w:val="18"/>
              </w:rPr>
              <w:t>2 quarters</w:t>
            </w:r>
          </w:p>
        </w:tc>
        <w:tc>
          <w:tcPr>
            <w:tcW w:w="23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0EAFAEEC" w14:textId="77777777" w:rsidR="00E7030C" w:rsidRDefault="00000000" w:rsidP="00E216C6">
            <w:pPr>
              <w:spacing w:line="204" w:lineRule="auto"/>
            </w:pPr>
            <w:r>
              <w:rPr>
                <w:color w:val="222222"/>
                <w:sz w:val="18"/>
                <w:szCs w:val="18"/>
              </w:rPr>
              <w:t>INR 10–15 Cr deposit growth</w:t>
            </w:r>
          </w:p>
        </w:tc>
      </w:tr>
      <w:tr w:rsidR="00E7030C" w14:paraId="76EE6C93" w14:textId="77777777">
        <w:tc>
          <w:tcPr>
            <w:tcW w:w="22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2E6D9226" w14:textId="22244416" w:rsidR="00E7030C" w:rsidRDefault="00000000" w:rsidP="00E216C6">
            <w:pPr>
              <w:spacing w:line="204" w:lineRule="auto"/>
            </w:pPr>
            <w:r>
              <w:rPr>
                <w:color w:val="222222"/>
                <w:sz w:val="18"/>
                <w:szCs w:val="18"/>
              </w:rPr>
              <w:t>NPA Screening</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3C8C8768" w14:textId="77777777" w:rsidR="00E7030C" w:rsidRDefault="00000000" w:rsidP="00E216C6">
            <w:pPr>
              <w:spacing w:line="204" w:lineRule="auto"/>
            </w:pPr>
            <w:r>
              <w:rPr>
                <w:color w:val="222222"/>
                <w:sz w:val="18"/>
                <w:szCs w:val="18"/>
              </w:rPr>
              <w:t>NPA %</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7633852F" w14:textId="77777777" w:rsidR="00E7030C" w:rsidRDefault="00000000" w:rsidP="00E216C6">
            <w:pPr>
              <w:spacing w:line="204" w:lineRule="auto"/>
              <w:jc w:val="center"/>
            </w:pPr>
            <w:r>
              <w:rPr>
                <w:color w:val="C00000"/>
                <w:sz w:val="18"/>
                <w:szCs w:val="18"/>
              </w:rPr>
              <w:t>~6.0%</w:t>
            </w:r>
          </w:p>
        </w:tc>
        <w:tc>
          <w:tcPr>
            <w:tcW w:w="12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31894533" w14:textId="77777777" w:rsidR="00E7030C" w:rsidRDefault="00000000" w:rsidP="00E216C6">
            <w:pPr>
              <w:spacing w:line="204" w:lineRule="auto"/>
              <w:jc w:val="center"/>
            </w:pPr>
            <w:r>
              <w:rPr>
                <w:color w:val="222222"/>
                <w:sz w:val="18"/>
                <w:szCs w:val="18"/>
              </w:rPr>
              <w:t>≤4.0%</w:t>
            </w:r>
          </w:p>
        </w:tc>
        <w:tc>
          <w:tcPr>
            <w:tcW w:w="13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7A30895E" w14:textId="77777777" w:rsidR="00E7030C" w:rsidRDefault="00000000" w:rsidP="00E216C6">
            <w:pPr>
              <w:spacing w:line="204" w:lineRule="auto"/>
              <w:jc w:val="center"/>
            </w:pPr>
            <w:r>
              <w:rPr>
                <w:color w:val="222222"/>
                <w:sz w:val="18"/>
                <w:szCs w:val="18"/>
              </w:rPr>
              <w:t>2 quarters</w:t>
            </w:r>
          </w:p>
        </w:tc>
        <w:tc>
          <w:tcPr>
            <w:tcW w:w="2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3312E52B" w14:textId="77777777" w:rsidR="00E7030C" w:rsidRDefault="00000000" w:rsidP="00E216C6">
            <w:pPr>
              <w:spacing w:line="204" w:lineRule="auto"/>
            </w:pPr>
            <w:r>
              <w:rPr>
                <w:color w:val="222222"/>
                <w:sz w:val="18"/>
                <w:szCs w:val="18"/>
              </w:rPr>
              <w:t>INR 30–50 Cr NPA reduction</w:t>
            </w:r>
          </w:p>
        </w:tc>
      </w:tr>
      <w:tr w:rsidR="00E7030C" w14:paraId="3CBA1F33" w14:textId="77777777">
        <w:tc>
          <w:tcPr>
            <w:tcW w:w="22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33C827F5" w14:textId="6454B830" w:rsidR="00E7030C" w:rsidRDefault="00000000" w:rsidP="00E216C6">
            <w:pPr>
              <w:spacing w:line="204" w:lineRule="auto"/>
            </w:pPr>
            <w:r>
              <w:rPr>
                <w:color w:val="222222"/>
                <w:sz w:val="18"/>
                <w:szCs w:val="18"/>
              </w:rPr>
              <w:t>CIBIL Floor</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20B1B2DB" w14:textId="77777777" w:rsidR="00E7030C" w:rsidRDefault="00000000" w:rsidP="00E216C6">
            <w:pPr>
              <w:spacing w:line="204" w:lineRule="auto"/>
            </w:pPr>
            <w:r>
              <w:rPr>
                <w:color w:val="222222"/>
                <w:sz w:val="18"/>
                <w:szCs w:val="18"/>
              </w:rPr>
              <w:t>Median CC CIBIL Score</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5C272EA9" w14:textId="77777777" w:rsidR="00E7030C" w:rsidRDefault="00000000" w:rsidP="00E216C6">
            <w:pPr>
              <w:spacing w:line="204" w:lineRule="auto"/>
              <w:jc w:val="center"/>
            </w:pPr>
            <w:r>
              <w:rPr>
                <w:color w:val="C00000"/>
                <w:sz w:val="18"/>
                <w:szCs w:val="18"/>
              </w:rPr>
              <w:t>603</w:t>
            </w:r>
          </w:p>
        </w:tc>
        <w:tc>
          <w:tcPr>
            <w:tcW w:w="12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6635DE96" w14:textId="77777777" w:rsidR="00E7030C" w:rsidRDefault="00000000" w:rsidP="00E216C6">
            <w:pPr>
              <w:spacing w:line="204" w:lineRule="auto"/>
              <w:jc w:val="center"/>
            </w:pPr>
            <w:r>
              <w:rPr>
                <w:color w:val="222222"/>
                <w:sz w:val="18"/>
                <w:szCs w:val="18"/>
              </w:rPr>
              <w:t>670+</w:t>
            </w:r>
          </w:p>
        </w:tc>
        <w:tc>
          <w:tcPr>
            <w:tcW w:w="136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3BA90E7D" w14:textId="77777777" w:rsidR="00E7030C" w:rsidRDefault="00000000" w:rsidP="00E216C6">
            <w:pPr>
              <w:spacing w:line="204" w:lineRule="auto"/>
              <w:jc w:val="center"/>
            </w:pPr>
            <w:r>
              <w:rPr>
                <w:color w:val="222222"/>
                <w:sz w:val="18"/>
                <w:szCs w:val="18"/>
              </w:rPr>
              <w:t>2 quarters</w:t>
            </w:r>
          </w:p>
        </w:tc>
        <w:tc>
          <w:tcPr>
            <w:tcW w:w="2300" w:type="dxa"/>
            <w:tcBorders>
              <w:top w:val="single" w:sz="1" w:space="0" w:color="CCCCCC"/>
              <w:left w:val="single" w:sz="1" w:space="0" w:color="CCCCCC"/>
              <w:bottom w:val="single" w:sz="1" w:space="0" w:color="CCCCCC"/>
              <w:right w:val="single" w:sz="1" w:space="0" w:color="CCCCCC"/>
            </w:tcBorders>
            <w:shd w:val="clear" w:color="auto" w:fill="F2F6FC"/>
            <w:tcMar>
              <w:top w:w="60" w:type="dxa"/>
              <w:left w:w="110" w:type="dxa"/>
              <w:bottom w:w="60" w:type="dxa"/>
              <w:right w:w="110" w:type="dxa"/>
            </w:tcMar>
          </w:tcPr>
          <w:p w14:paraId="5F9D9DC3" w14:textId="77777777" w:rsidR="00E7030C" w:rsidRDefault="00000000" w:rsidP="00E216C6">
            <w:pPr>
              <w:spacing w:line="204" w:lineRule="auto"/>
            </w:pPr>
            <w:r>
              <w:rPr>
                <w:color w:val="222222"/>
                <w:sz w:val="18"/>
                <w:szCs w:val="18"/>
              </w:rPr>
              <w:t>15–20% drop in CC delinquency</w:t>
            </w:r>
          </w:p>
        </w:tc>
      </w:tr>
      <w:tr w:rsidR="00E7030C" w14:paraId="1D2CB7D9" w14:textId="77777777">
        <w:tc>
          <w:tcPr>
            <w:tcW w:w="22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4B4BCDCE" w14:textId="212AEC1F" w:rsidR="00E7030C" w:rsidRDefault="00000000" w:rsidP="00E216C6">
            <w:pPr>
              <w:spacing w:line="204" w:lineRule="auto"/>
            </w:pPr>
            <w:r>
              <w:rPr>
                <w:color w:val="222222"/>
                <w:sz w:val="18"/>
                <w:szCs w:val="18"/>
              </w:rPr>
              <w:t>Merchant Programme</w:t>
            </w:r>
          </w:p>
        </w:tc>
        <w:tc>
          <w:tcPr>
            <w:tcW w:w="17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36232F5A" w14:textId="06B11D35" w:rsidR="00E7030C" w:rsidRDefault="00000000" w:rsidP="00E216C6">
            <w:pPr>
              <w:spacing w:line="204" w:lineRule="auto"/>
            </w:pPr>
            <w:r>
              <w:rPr>
                <w:color w:val="222222"/>
                <w:sz w:val="18"/>
                <w:szCs w:val="18"/>
              </w:rPr>
              <w:t>Avg</w:t>
            </w:r>
            <w:r w:rsidR="006F223D">
              <w:rPr>
                <w:color w:val="222222"/>
                <w:sz w:val="18"/>
                <w:szCs w:val="18"/>
              </w:rPr>
              <w:t>.</w:t>
            </w:r>
            <w:r>
              <w:rPr>
                <w:color w:val="222222"/>
                <w:sz w:val="18"/>
                <w:szCs w:val="18"/>
              </w:rPr>
              <w:t xml:space="preserve"> Monthly Card Spend</w:t>
            </w:r>
          </w:p>
        </w:tc>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7EDC6F86" w14:textId="77777777" w:rsidR="00E7030C" w:rsidRDefault="00000000" w:rsidP="00E216C6">
            <w:pPr>
              <w:spacing w:line="204" w:lineRule="auto"/>
              <w:jc w:val="center"/>
            </w:pPr>
            <w:r>
              <w:rPr>
                <w:color w:val="222222"/>
                <w:sz w:val="18"/>
                <w:szCs w:val="18"/>
              </w:rPr>
              <w:t>Current base</w:t>
            </w:r>
          </w:p>
        </w:tc>
        <w:tc>
          <w:tcPr>
            <w:tcW w:w="12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69AF7418" w14:textId="77777777" w:rsidR="00E7030C" w:rsidRDefault="00000000" w:rsidP="00E216C6">
            <w:pPr>
              <w:spacing w:line="204" w:lineRule="auto"/>
              <w:jc w:val="center"/>
            </w:pPr>
            <w:r>
              <w:rPr>
                <w:color w:val="222222"/>
                <w:sz w:val="18"/>
                <w:szCs w:val="18"/>
              </w:rPr>
              <w:t>+20–25%</w:t>
            </w:r>
          </w:p>
        </w:tc>
        <w:tc>
          <w:tcPr>
            <w:tcW w:w="136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0B05A5D9" w14:textId="77777777" w:rsidR="00E7030C" w:rsidRDefault="00000000" w:rsidP="00E216C6">
            <w:pPr>
              <w:spacing w:line="204" w:lineRule="auto"/>
              <w:jc w:val="center"/>
            </w:pPr>
            <w:r>
              <w:rPr>
                <w:color w:val="222222"/>
                <w:sz w:val="18"/>
                <w:szCs w:val="18"/>
              </w:rPr>
              <w:t>6 months</w:t>
            </w:r>
          </w:p>
        </w:tc>
        <w:tc>
          <w:tcPr>
            <w:tcW w:w="2300" w:type="dxa"/>
            <w:tcBorders>
              <w:top w:val="single" w:sz="1" w:space="0" w:color="CCCCCC"/>
              <w:left w:val="single" w:sz="1" w:space="0" w:color="CCCCCC"/>
              <w:bottom w:val="single" w:sz="1" w:space="0" w:color="CCCCCC"/>
              <w:right w:val="single" w:sz="1" w:space="0" w:color="CCCCCC"/>
            </w:tcBorders>
            <w:shd w:val="clear" w:color="auto" w:fill="FAFAFA"/>
            <w:tcMar>
              <w:top w:w="60" w:type="dxa"/>
              <w:left w:w="110" w:type="dxa"/>
              <w:bottom w:w="60" w:type="dxa"/>
              <w:right w:w="110" w:type="dxa"/>
            </w:tcMar>
          </w:tcPr>
          <w:p w14:paraId="72B8233C" w14:textId="77777777" w:rsidR="00E7030C" w:rsidRDefault="00000000" w:rsidP="00E216C6">
            <w:pPr>
              <w:spacing w:line="204" w:lineRule="auto"/>
            </w:pPr>
            <w:r>
              <w:rPr>
                <w:color w:val="222222"/>
                <w:sz w:val="18"/>
                <w:szCs w:val="18"/>
              </w:rPr>
              <w:t>INR 5–8 Cr incremental fees</w:t>
            </w:r>
          </w:p>
        </w:tc>
      </w:tr>
    </w:tbl>
    <w:p w14:paraId="5795CDD5" w14:textId="77777777" w:rsidR="00E7030C" w:rsidRDefault="00E7030C" w:rsidP="00E216C6">
      <w:pPr>
        <w:spacing w:before="60" w:line="204" w:lineRule="auto"/>
      </w:pPr>
    </w:p>
    <w:sectPr w:rsidR="00E7030C">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65D"/>
    <w:multiLevelType w:val="hybridMultilevel"/>
    <w:tmpl w:val="E2080986"/>
    <w:lvl w:ilvl="0" w:tplc="C5B08DB6">
      <w:start w:val="1"/>
      <w:numFmt w:val="bullet"/>
      <w:lvlText w:val="●"/>
      <w:lvlJc w:val="left"/>
      <w:pPr>
        <w:ind w:left="720" w:hanging="360"/>
      </w:pPr>
    </w:lvl>
    <w:lvl w:ilvl="1" w:tplc="FCFAB322">
      <w:start w:val="1"/>
      <w:numFmt w:val="bullet"/>
      <w:lvlText w:val="○"/>
      <w:lvlJc w:val="left"/>
      <w:pPr>
        <w:ind w:left="1440" w:hanging="360"/>
      </w:pPr>
    </w:lvl>
    <w:lvl w:ilvl="2" w:tplc="BCC2DB16">
      <w:start w:val="1"/>
      <w:numFmt w:val="bullet"/>
      <w:lvlText w:val="■"/>
      <w:lvlJc w:val="left"/>
      <w:pPr>
        <w:ind w:left="2160" w:hanging="360"/>
      </w:pPr>
    </w:lvl>
    <w:lvl w:ilvl="3" w:tplc="92CABC24">
      <w:start w:val="1"/>
      <w:numFmt w:val="bullet"/>
      <w:lvlText w:val="●"/>
      <w:lvlJc w:val="left"/>
      <w:pPr>
        <w:ind w:left="2880" w:hanging="360"/>
      </w:pPr>
    </w:lvl>
    <w:lvl w:ilvl="4" w:tplc="51744AF8">
      <w:start w:val="1"/>
      <w:numFmt w:val="bullet"/>
      <w:lvlText w:val="○"/>
      <w:lvlJc w:val="left"/>
      <w:pPr>
        <w:ind w:left="3600" w:hanging="360"/>
      </w:pPr>
    </w:lvl>
    <w:lvl w:ilvl="5" w:tplc="7846B604">
      <w:start w:val="1"/>
      <w:numFmt w:val="bullet"/>
      <w:lvlText w:val="■"/>
      <w:lvlJc w:val="left"/>
      <w:pPr>
        <w:ind w:left="4320" w:hanging="360"/>
      </w:pPr>
    </w:lvl>
    <w:lvl w:ilvl="6" w:tplc="3A7C1BC2">
      <w:start w:val="1"/>
      <w:numFmt w:val="bullet"/>
      <w:lvlText w:val="●"/>
      <w:lvlJc w:val="left"/>
      <w:pPr>
        <w:ind w:left="5040" w:hanging="360"/>
      </w:pPr>
    </w:lvl>
    <w:lvl w:ilvl="7" w:tplc="2730E99E">
      <w:start w:val="1"/>
      <w:numFmt w:val="bullet"/>
      <w:lvlText w:val="●"/>
      <w:lvlJc w:val="left"/>
      <w:pPr>
        <w:ind w:left="5760" w:hanging="360"/>
      </w:pPr>
    </w:lvl>
    <w:lvl w:ilvl="8" w:tplc="0E02B8B8">
      <w:start w:val="1"/>
      <w:numFmt w:val="bullet"/>
      <w:lvlText w:val="●"/>
      <w:lvlJc w:val="left"/>
      <w:pPr>
        <w:ind w:left="6480" w:hanging="360"/>
      </w:pPr>
    </w:lvl>
  </w:abstractNum>
  <w:abstractNum w:abstractNumId="1" w15:restartNumberingAfterBreak="0">
    <w:nsid w:val="76090E64"/>
    <w:multiLevelType w:val="hybridMultilevel"/>
    <w:tmpl w:val="89FE370C"/>
    <w:lvl w:ilvl="0" w:tplc="37F8B02E">
      <w:start w:val="1"/>
      <w:numFmt w:val="bullet"/>
      <w:lvlText w:val="–"/>
      <w:lvlJc w:val="left"/>
      <w:pPr>
        <w:ind w:left="520" w:hanging="260"/>
      </w:pPr>
      <w:rPr>
        <w:b/>
        <w:bCs/>
        <w:color w:val="2E75B6"/>
      </w:rPr>
    </w:lvl>
    <w:lvl w:ilvl="1" w:tplc="556434A8">
      <w:numFmt w:val="decimal"/>
      <w:lvlText w:val=""/>
      <w:lvlJc w:val="left"/>
    </w:lvl>
    <w:lvl w:ilvl="2" w:tplc="6E924246">
      <w:numFmt w:val="decimal"/>
      <w:lvlText w:val=""/>
      <w:lvlJc w:val="left"/>
    </w:lvl>
    <w:lvl w:ilvl="3" w:tplc="C7DCBE2C">
      <w:numFmt w:val="decimal"/>
      <w:lvlText w:val=""/>
      <w:lvlJc w:val="left"/>
    </w:lvl>
    <w:lvl w:ilvl="4" w:tplc="1D34A1A8">
      <w:numFmt w:val="decimal"/>
      <w:lvlText w:val=""/>
      <w:lvlJc w:val="left"/>
    </w:lvl>
    <w:lvl w:ilvl="5" w:tplc="18EEA5A0">
      <w:numFmt w:val="decimal"/>
      <w:lvlText w:val=""/>
      <w:lvlJc w:val="left"/>
    </w:lvl>
    <w:lvl w:ilvl="6" w:tplc="877C287C">
      <w:numFmt w:val="decimal"/>
      <w:lvlText w:val=""/>
      <w:lvlJc w:val="left"/>
    </w:lvl>
    <w:lvl w:ilvl="7" w:tplc="9CA27B0C">
      <w:numFmt w:val="decimal"/>
      <w:lvlText w:val=""/>
      <w:lvlJc w:val="left"/>
    </w:lvl>
    <w:lvl w:ilvl="8" w:tplc="DBF83DA8">
      <w:numFmt w:val="decimal"/>
      <w:lvlText w:val=""/>
      <w:lvlJc w:val="left"/>
    </w:lvl>
  </w:abstractNum>
  <w:num w:numId="1" w16cid:durableId="128331192">
    <w:abstractNumId w:val="0"/>
    <w:lvlOverride w:ilvl="0">
      <w:startOverride w:val="1"/>
    </w:lvlOverride>
  </w:num>
  <w:num w:numId="2" w16cid:durableId="9959113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30C"/>
    <w:rsid w:val="006F223D"/>
    <w:rsid w:val="00823186"/>
    <w:rsid w:val="00AA38D9"/>
    <w:rsid w:val="00C94EE8"/>
    <w:rsid w:val="00D00F00"/>
    <w:rsid w:val="00E216C6"/>
    <w:rsid w:val="00E703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66E05"/>
  <w15:docId w15:val="{1DD01A26-4D21-4AB7-833D-A72F56345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50"/>
      <w:outlineLvl w:val="0"/>
    </w:pPr>
    <w:rPr>
      <w:b/>
      <w:bCs/>
      <w:caps/>
      <w:color w:val="1F4E79"/>
      <w:sz w:val="26"/>
      <w:szCs w:val="26"/>
    </w:rPr>
  </w:style>
  <w:style w:type="paragraph" w:styleId="Heading2">
    <w:name w:val="heading 2"/>
    <w:uiPriority w:val="9"/>
    <w:semiHidden/>
    <w:unhideWhenUsed/>
    <w:qFormat/>
    <w:pPr>
      <w:spacing w:before="160" w:after="4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2078</Words>
  <Characters>11850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Abhey Datta</cp:lastModifiedBy>
  <cp:revision>9</cp:revision>
  <dcterms:created xsi:type="dcterms:W3CDTF">2026-03-19T08:51:00Z</dcterms:created>
  <dcterms:modified xsi:type="dcterms:W3CDTF">2026-03-22T09:03:00Z</dcterms:modified>
</cp:coreProperties>
</file>