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85830" w14:textId="77777777" w:rsidR="00AA4D80" w:rsidRDefault="00000000" w:rsidP="000F154E">
      <w:pPr>
        <w:shd w:val="clear" w:color="auto" w:fill="1F4E79"/>
        <w:jc w:val="center"/>
      </w:pPr>
      <w:r>
        <w:rPr>
          <w:b/>
          <w:bCs/>
          <w:color w:val="FFFFFF"/>
          <w:sz w:val="44"/>
          <w:szCs w:val="44"/>
        </w:rPr>
        <w:t>BUSINESS PROBLEM DOCUMENT</w:t>
      </w:r>
    </w:p>
    <w:p w14:paraId="01ABFE43" w14:textId="77777777" w:rsidR="00AA4D80" w:rsidRDefault="00000000" w:rsidP="000F154E">
      <w:pPr>
        <w:shd w:val="clear" w:color="auto" w:fill="2E75B6"/>
        <w:jc w:val="center"/>
      </w:pPr>
      <w:r>
        <w:rPr>
          <w:i/>
          <w:iCs/>
          <w:color w:val="FFFFFF"/>
          <w:sz w:val="24"/>
          <w:szCs w:val="24"/>
        </w:rPr>
        <w:t xml:space="preserve">Bank Performance </w:t>
      </w:r>
      <w:proofErr w:type="gramStart"/>
      <w:r>
        <w:rPr>
          <w:i/>
          <w:iCs/>
          <w:color w:val="FFFFFF"/>
          <w:sz w:val="24"/>
          <w:szCs w:val="24"/>
        </w:rPr>
        <w:t>Analysis  —</w:t>
      </w:r>
      <w:proofErr w:type="gramEnd"/>
      <w:r>
        <w:rPr>
          <w:i/>
          <w:iCs/>
          <w:color w:val="FFFFFF"/>
          <w:sz w:val="24"/>
          <w:szCs w:val="24"/>
        </w:rPr>
        <w:t xml:space="preserve">  FY 2024–25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AA4D80" w14:paraId="4757D947" w14:textId="77777777">
        <w:tc>
          <w:tcPr>
            <w:tcW w:w="2520" w:type="dxa"/>
            <w:tcBorders>
              <w:top w:val="none" w:sz="0" w:space="0" w:color="FFFFFF"/>
              <w:left w:val="none" w:sz="0" w:space="0" w:color="FFFFFF"/>
              <w:bottom w:val="none" w:sz="0" w:space="0" w:color="FFFFFF"/>
              <w:right w:val="none" w:sz="0" w:space="0" w:color="FFFFFF"/>
            </w:tcBorders>
            <w:shd w:val="clear" w:color="auto" w:fill="EBF0F9"/>
            <w:tcMar>
              <w:top w:w="80" w:type="dxa"/>
              <w:left w:w="160" w:type="dxa"/>
              <w:bottom w:w="80" w:type="dxa"/>
              <w:right w:w="160" w:type="dxa"/>
            </w:tcMar>
          </w:tcPr>
          <w:p w14:paraId="3E45F521" w14:textId="77777777" w:rsidR="00AA4D80" w:rsidRDefault="00000000" w:rsidP="000F154E">
            <w:pPr>
              <w:spacing w:after="10"/>
            </w:pPr>
            <w:r>
              <w:rPr>
                <w:b/>
                <w:bCs/>
                <w:color w:val="2E75B6"/>
                <w:sz w:val="17"/>
                <w:szCs w:val="17"/>
              </w:rPr>
              <w:t>Analyst</w:t>
            </w:r>
          </w:p>
          <w:p w14:paraId="1CD9D3F3" w14:textId="77777777" w:rsidR="00AA4D80" w:rsidRDefault="00000000" w:rsidP="000F154E">
            <w:r>
              <w:rPr>
                <w:b/>
                <w:bCs/>
                <w:color w:val="111111"/>
                <w:sz w:val="19"/>
                <w:szCs w:val="19"/>
              </w:rPr>
              <w:t>Abhey Veer Datta</w:t>
            </w:r>
          </w:p>
        </w:tc>
        <w:tc>
          <w:tcPr>
            <w:tcW w:w="2520" w:type="dxa"/>
            <w:tcBorders>
              <w:top w:val="none" w:sz="0" w:space="0" w:color="FFFFFF"/>
              <w:left w:val="none" w:sz="0" w:space="0" w:color="FFFFFF"/>
              <w:bottom w:val="none" w:sz="0" w:space="0" w:color="FFFFFF"/>
              <w:right w:val="none" w:sz="0" w:space="0" w:color="FFFFFF"/>
            </w:tcBorders>
            <w:shd w:val="clear" w:color="auto" w:fill="EBF0F9"/>
            <w:tcMar>
              <w:top w:w="80" w:type="dxa"/>
              <w:left w:w="160" w:type="dxa"/>
              <w:bottom w:w="80" w:type="dxa"/>
              <w:right w:w="160" w:type="dxa"/>
            </w:tcMar>
          </w:tcPr>
          <w:p w14:paraId="6BA4DD67" w14:textId="77777777" w:rsidR="00AA4D80" w:rsidRDefault="00000000" w:rsidP="000F154E">
            <w:pPr>
              <w:spacing w:after="10"/>
            </w:pPr>
            <w:r>
              <w:rPr>
                <w:b/>
                <w:bCs/>
                <w:color w:val="2E75B6"/>
                <w:sz w:val="17"/>
                <w:szCs w:val="17"/>
              </w:rPr>
              <w:t>Report Date</w:t>
            </w:r>
          </w:p>
          <w:p w14:paraId="2ECEA73D" w14:textId="77777777" w:rsidR="00AA4D80" w:rsidRDefault="00000000" w:rsidP="000F154E">
            <w:r>
              <w:rPr>
                <w:b/>
                <w:bCs/>
                <w:color w:val="111111"/>
                <w:sz w:val="19"/>
                <w:szCs w:val="19"/>
              </w:rPr>
              <w:t>March 2025</w:t>
            </w:r>
          </w:p>
        </w:tc>
        <w:tc>
          <w:tcPr>
            <w:tcW w:w="2520" w:type="dxa"/>
            <w:tcBorders>
              <w:top w:val="none" w:sz="0" w:space="0" w:color="FFFFFF"/>
              <w:left w:val="none" w:sz="0" w:space="0" w:color="FFFFFF"/>
              <w:bottom w:val="none" w:sz="0" w:space="0" w:color="FFFFFF"/>
              <w:right w:val="none" w:sz="0" w:space="0" w:color="FFFFFF"/>
            </w:tcBorders>
            <w:shd w:val="clear" w:color="auto" w:fill="EBF0F9"/>
            <w:tcMar>
              <w:top w:w="80" w:type="dxa"/>
              <w:left w:w="160" w:type="dxa"/>
              <w:bottom w:w="80" w:type="dxa"/>
              <w:right w:w="160" w:type="dxa"/>
            </w:tcMar>
          </w:tcPr>
          <w:p w14:paraId="48F29B83" w14:textId="77777777" w:rsidR="00AA4D80" w:rsidRDefault="00000000" w:rsidP="000F154E">
            <w:pPr>
              <w:spacing w:after="10"/>
            </w:pPr>
            <w:r>
              <w:rPr>
                <w:b/>
                <w:bCs/>
                <w:color w:val="2E75B6"/>
                <w:sz w:val="17"/>
                <w:szCs w:val="17"/>
              </w:rPr>
              <w:t>Reference Period</w:t>
            </w:r>
          </w:p>
          <w:p w14:paraId="1E44CDF4" w14:textId="77777777" w:rsidR="00AA4D80" w:rsidRDefault="00000000" w:rsidP="000F154E">
            <w:r>
              <w:rPr>
                <w:b/>
                <w:bCs/>
                <w:color w:val="111111"/>
                <w:sz w:val="19"/>
                <w:szCs w:val="19"/>
              </w:rPr>
              <w:t>FY 2024–25</w:t>
            </w:r>
          </w:p>
        </w:tc>
        <w:tc>
          <w:tcPr>
            <w:tcW w:w="2520" w:type="dxa"/>
            <w:tcBorders>
              <w:top w:val="none" w:sz="0" w:space="0" w:color="FFFFFF"/>
              <w:left w:val="none" w:sz="0" w:space="0" w:color="FFFFFF"/>
              <w:bottom w:val="none" w:sz="0" w:space="0" w:color="FFFFFF"/>
              <w:right w:val="none" w:sz="0" w:space="0" w:color="FFFFFF"/>
            </w:tcBorders>
            <w:shd w:val="clear" w:color="auto" w:fill="EBF0F9"/>
            <w:tcMar>
              <w:top w:w="80" w:type="dxa"/>
              <w:left w:w="160" w:type="dxa"/>
              <w:bottom w:w="80" w:type="dxa"/>
              <w:right w:w="160" w:type="dxa"/>
            </w:tcMar>
          </w:tcPr>
          <w:p w14:paraId="504A241A" w14:textId="55C88225" w:rsidR="00AA4D80" w:rsidRDefault="00AA4D80" w:rsidP="000F154E"/>
        </w:tc>
      </w:tr>
    </w:tbl>
    <w:p w14:paraId="10375ED9" w14:textId="77777777" w:rsidR="00AA4D80" w:rsidRDefault="00AA4D80" w:rsidP="000F154E">
      <w:pPr>
        <w:spacing w:before="140"/>
      </w:pPr>
    </w:p>
    <w:p w14:paraId="373E6D72" w14:textId="77777777" w:rsidR="00AA4D80" w:rsidRDefault="00000000" w:rsidP="000F154E">
      <w:pPr>
        <w:pBdr>
          <w:bottom w:val="single" w:sz="5" w:space="1" w:color="2E75B6"/>
        </w:pBdr>
        <w:spacing w:before="220" w:after="50"/>
      </w:pPr>
      <w:r>
        <w:rPr>
          <w:b/>
          <w:bCs/>
          <w:caps/>
          <w:color w:val="1F4E79"/>
          <w:sz w:val="26"/>
          <w:szCs w:val="26"/>
        </w:rPr>
        <w:t>1. Project Overview</w:t>
      </w:r>
    </w:p>
    <w:p w14:paraId="70F9743F" w14:textId="77777777" w:rsidR="00AA4D80" w:rsidRDefault="00000000" w:rsidP="000F154E">
      <w:pPr>
        <w:pStyle w:val="ListParagraph"/>
        <w:numPr>
          <w:ilvl w:val="0"/>
          <w:numId w:val="2"/>
        </w:numPr>
        <w:spacing w:before="28" w:after="28"/>
      </w:pPr>
      <w:proofErr w:type="gramStart"/>
      <w:r>
        <w:rPr>
          <w:b/>
          <w:bCs/>
          <w:color w:val="1F4E79"/>
        </w:rPr>
        <w:t xml:space="preserve">Project  </w:t>
      </w:r>
      <w:r>
        <w:rPr>
          <w:color w:val="222222"/>
        </w:rPr>
        <w:t>Bank</w:t>
      </w:r>
      <w:proofErr w:type="gramEnd"/>
      <w:r>
        <w:rPr>
          <w:color w:val="222222"/>
        </w:rPr>
        <w:t xml:space="preserve"> Performance Analysis — FY 2024–25. Built end-to-end in Power BI on a 15-table star/snowflake hybrid data model.</w:t>
      </w:r>
    </w:p>
    <w:p w14:paraId="2CED79D1" w14:textId="77777777" w:rsidR="00AA4D80" w:rsidRDefault="00000000" w:rsidP="000F154E">
      <w:pPr>
        <w:pStyle w:val="ListParagraph"/>
        <w:numPr>
          <w:ilvl w:val="0"/>
          <w:numId w:val="2"/>
        </w:numPr>
        <w:spacing w:before="28" w:after="28"/>
      </w:pPr>
      <w:proofErr w:type="gramStart"/>
      <w:r>
        <w:rPr>
          <w:b/>
          <w:bCs/>
          <w:color w:val="1F4E79"/>
        </w:rPr>
        <w:t xml:space="preserve">Pages  </w:t>
      </w:r>
      <w:r>
        <w:rPr>
          <w:color w:val="222222"/>
        </w:rPr>
        <w:t>5</w:t>
      </w:r>
      <w:proofErr w:type="gramEnd"/>
      <w:r>
        <w:rPr>
          <w:color w:val="222222"/>
        </w:rPr>
        <w:t xml:space="preserve"> report pages — Average Client Income, Loan Dashboard, Top Performing Branches, Credit Card &amp; Transaction Analysis, Investment Overview.</w:t>
      </w:r>
    </w:p>
    <w:p w14:paraId="2D67142E" w14:textId="77777777" w:rsidR="00AA4D80" w:rsidRDefault="00000000" w:rsidP="000F154E">
      <w:pPr>
        <w:pStyle w:val="ListParagraph"/>
        <w:numPr>
          <w:ilvl w:val="0"/>
          <w:numId w:val="2"/>
        </w:numPr>
        <w:spacing w:before="28" w:after="28"/>
      </w:pPr>
      <w:r>
        <w:rPr>
          <w:b/>
          <w:bCs/>
          <w:color w:val="1F4E79"/>
        </w:rPr>
        <w:t xml:space="preserve">DAX </w:t>
      </w:r>
      <w:proofErr w:type="gramStart"/>
      <w:r>
        <w:rPr>
          <w:b/>
          <w:bCs/>
          <w:color w:val="1F4E79"/>
        </w:rPr>
        <w:t xml:space="preserve">Measures  </w:t>
      </w:r>
      <w:r>
        <w:rPr>
          <w:color w:val="222222"/>
        </w:rPr>
        <w:t>5</w:t>
      </w:r>
      <w:proofErr w:type="gramEnd"/>
      <w:r>
        <w:rPr>
          <w:color w:val="222222"/>
        </w:rPr>
        <w:t xml:space="preserve"> custom measures implemented — NPA %, Count People Missing ≥3 </w:t>
      </w:r>
      <w:proofErr w:type="spellStart"/>
      <w:r>
        <w:rPr>
          <w:color w:val="222222"/>
        </w:rPr>
        <w:t>Installments</w:t>
      </w:r>
      <w:proofErr w:type="spellEnd"/>
      <w:r>
        <w:rPr>
          <w:color w:val="222222"/>
        </w:rPr>
        <w:t>, YoY Account Opening Growth %, AUM YoY Growth %, Active Credit Cards.</w:t>
      </w:r>
    </w:p>
    <w:p w14:paraId="667DE69A" w14:textId="77777777" w:rsidR="00AA4D80" w:rsidRDefault="00000000" w:rsidP="000F154E">
      <w:pPr>
        <w:pStyle w:val="ListParagraph"/>
        <w:numPr>
          <w:ilvl w:val="0"/>
          <w:numId w:val="2"/>
        </w:numPr>
        <w:spacing w:before="28" w:after="28"/>
      </w:pPr>
      <w:r>
        <w:rPr>
          <w:b/>
          <w:bCs/>
          <w:color w:val="1F4E79"/>
        </w:rPr>
        <w:t xml:space="preserve">Data </w:t>
      </w:r>
      <w:proofErr w:type="gramStart"/>
      <w:r>
        <w:rPr>
          <w:b/>
          <w:bCs/>
          <w:color w:val="1F4E79"/>
        </w:rPr>
        <w:t xml:space="preserve">Coverage  </w:t>
      </w:r>
      <w:r>
        <w:rPr>
          <w:color w:val="222222"/>
        </w:rPr>
        <w:t>15</w:t>
      </w:r>
      <w:proofErr w:type="gramEnd"/>
      <w:r>
        <w:rPr>
          <w:color w:val="222222"/>
        </w:rPr>
        <w:t xml:space="preserve"> tables: accounts, loans, credit cards, transactions, investments, complaints, customer demographics, branches, RMs, and risk scores. Source: bank's core operational systems, FY 2024–25.</w:t>
      </w:r>
    </w:p>
    <w:p w14:paraId="07047D23" w14:textId="77777777" w:rsidR="00AA4D80" w:rsidRDefault="00000000" w:rsidP="000F154E">
      <w:pPr>
        <w:pStyle w:val="ListParagraph"/>
        <w:numPr>
          <w:ilvl w:val="0"/>
          <w:numId w:val="2"/>
        </w:numPr>
        <w:spacing w:before="28" w:after="28"/>
      </w:pPr>
      <w:proofErr w:type="gramStart"/>
      <w:r>
        <w:rPr>
          <w:b/>
          <w:bCs/>
          <w:color w:val="1F4E79"/>
        </w:rPr>
        <w:t xml:space="preserve">Purpose  </w:t>
      </w:r>
      <w:r>
        <w:rPr>
          <w:color w:val="222222"/>
        </w:rPr>
        <w:t>Give</w:t>
      </w:r>
      <w:proofErr w:type="gramEnd"/>
      <w:r>
        <w:rPr>
          <w:color w:val="222222"/>
        </w:rPr>
        <w:t xml:space="preserve"> the leadership team one place to see credit risk exposure, customer segment gaps, branch and RM performance, and digital channel usage — instead of pulling from four separate MIS reports.</w:t>
      </w:r>
    </w:p>
    <w:p w14:paraId="52415D5D" w14:textId="77777777" w:rsidR="00AA4D80" w:rsidRDefault="00AA4D80" w:rsidP="000F154E">
      <w:pPr>
        <w:spacing w:before="60"/>
      </w:pPr>
    </w:p>
    <w:p w14:paraId="30A794B9" w14:textId="77777777" w:rsidR="00AA4D80" w:rsidRDefault="00000000" w:rsidP="000F154E">
      <w:pPr>
        <w:pBdr>
          <w:bottom w:val="single" w:sz="5" w:space="1" w:color="2E75B6"/>
        </w:pBdr>
        <w:spacing w:before="220" w:after="50"/>
      </w:pPr>
      <w:r>
        <w:rPr>
          <w:b/>
          <w:bCs/>
          <w:caps/>
          <w:color w:val="1F4E79"/>
          <w:sz w:val="26"/>
          <w:szCs w:val="26"/>
        </w:rPr>
        <w:t>2. Business Context</w:t>
      </w:r>
    </w:p>
    <w:p w14:paraId="2801522D" w14:textId="77777777" w:rsidR="00AA4D80" w:rsidRDefault="00000000" w:rsidP="000F154E">
      <w:pPr>
        <w:pStyle w:val="ListParagraph"/>
        <w:numPr>
          <w:ilvl w:val="0"/>
          <w:numId w:val="2"/>
        </w:numPr>
        <w:spacing w:before="28" w:after="28"/>
      </w:pPr>
      <w:r>
        <w:rPr>
          <w:b/>
          <w:bCs/>
          <w:color w:val="1F4E79"/>
        </w:rPr>
        <w:t xml:space="preserve">Regulatory </w:t>
      </w:r>
      <w:proofErr w:type="gramStart"/>
      <w:r>
        <w:rPr>
          <w:b/>
          <w:bCs/>
          <w:color w:val="1F4E79"/>
        </w:rPr>
        <w:t xml:space="preserve">environment  </w:t>
      </w:r>
      <w:r>
        <w:rPr>
          <w:color w:val="222222"/>
        </w:rPr>
        <w:t>RBI's</w:t>
      </w:r>
      <w:proofErr w:type="gramEnd"/>
      <w:r>
        <w:rPr>
          <w:color w:val="222222"/>
        </w:rPr>
        <w:t xml:space="preserve"> IRACP norms tightened post-FY23. Banks must classify NPAs within 90 days of first default, maintain CIBIL-backed underwriting records, and demonstrate an early warning process. This bank has gaps in all three.</w:t>
      </w:r>
    </w:p>
    <w:p w14:paraId="55BA6170" w14:textId="77777777" w:rsidR="00AA4D80" w:rsidRDefault="00000000" w:rsidP="000F154E">
      <w:pPr>
        <w:pStyle w:val="ListParagraph"/>
        <w:numPr>
          <w:ilvl w:val="0"/>
          <w:numId w:val="2"/>
        </w:numPr>
        <w:spacing w:before="28" w:after="28"/>
      </w:pPr>
      <w:r>
        <w:rPr>
          <w:b/>
          <w:bCs/>
          <w:color w:val="1F4E79"/>
        </w:rPr>
        <w:t xml:space="preserve">Competitive </w:t>
      </w:r>
      <w:proofErr w:type="gramStart"/>
      <w:r>
        <w:rPr>
          <w:b/>
          <w:bCs/>
          <w:color w:val="1F4E79"/>
        </w:rPr>
        <w:t xml:space="preserve">position  </w:t>
      </w:r>
      <w:r>
        <w:rPr>
          <w:color w:val="222222"/>
        </w:rPr>
        <w:t>Mid</w:t>
      </w:r>
      <w:proofErr w:type="gramEnd"/>
      <w:r>
        <w:rPr>
          <w:color w:val="222222"/>
        </w:rPr>
        <w:t xml:space="preserve">-sized private banks are caught between PSU banks — which still own the trust and physical distribution advantage in semi-urban India — and </w:t>
      </w:r>
      <w:proofErr w:type="spellStart"/>
      <w:r>
        <w:rPr>
          <w:color w:val="222222"/>
        </w:rPr>
        <w:t>fintechs</w:t>
      </w:r>
      <w:proofErr w:type="spellEnd"/>
      <w:r>
        <w:rPr>
          <w:color w:val="222222"/>
        </w:rPr>
        <w:t xml:space="preserve"> that are onboarding customers with BNPL and UPI-linked credit far faster than branch-based models can match.</w:t>
      </w:r>
    </w:p>
    <w:p w14:paraId="6A38DE66" w14:textId="77777777" w:rsidR="00AA4D80" w:rsidRDefault="00000000" w:rsidP="000F154E">
      <w:pPr>
        <w:pStyle w:val="ListParagraph"/>
        <w:numPr>
          <w:ilvl w:val="0"/>
          <w:numId w:val="2"/>
        </w:numPr>
        <w:spacing w:before="28" w:after="28"/>
      </w:pPr>
      <w:r>
        <w:rPr>
          <w:b/>
          <w:bCs/>
          <w:color w:val="1F4E79"/>
        </w:rPr>
        <w:t xml:space="preserve">What the data </w:t>
      </w:r>
      <w:proofErr w:type="gramStart"/>
      <w:r>
        <w:rPr>
          <w:b/>
          <w:bCs/>
          <w:color w:val="1F4E79"/>
        </w:rPr>
        <w:t xml:space="preserve">shows  </w:t>
      </w:r>
      <w:r>
        <w:rPr>
          <w:color w:val="222222"/>
        </w:rPr>
        <w:t>The</w:t>
      </w:r>
      <w:proofErr w:type="gramEnd"/>
      <w:r>
        <w:rPr>
          <w:color w:val="222222"/>
        </w:rPr>
        <w:t xml:space="preserve"> Investments and Investment Transactions tables were in the data model the entire time, but never connected to a report page. The bank was sitting on AUM and RM performance data it had never looked at. That is the gap this project addresses.</w:t>
      </w:r>
    </w:p>
    <w:p w14:paraId="22B8F1A8" w14:textId="77777777" w:rsidR="00AA4D80" w:rsidRDefault="00000000" w:rsidP="000F154E">
      <w:pPr>
        <w:pStyle w:val="ListParagraph"/>
        <w:numPr>
          <w:ilvl w:val="0"/>
          <w:numId w:val="2"/>
        </w:numPr>
        <w:spacing w:before="28" w:after="28"/>
      </w:pPr>
      <w:r>
        <w:rPr>
          <w:b/>
          <w:bCs/>
          <w:color w:val="1F4E79"/>
        </w:rPr>
        <w:t xml:space="preserve">Where the bank </w:t>
      </w:r>
      <w:proofErr w:type="gramStart"/>
      <w:r>
        <w:rPr>
          <w:b/>
          <w:bCs/>
          <w:color w:val="1F4E79"/>
        </w:rPr>
        <w:t xml:space="preserve">stands  </w:t>
      </w:r>
      <w:r>
        <w:rPr>
          <w:color w:val="222222"/>
        </w:rPr>
        <w:t>The</w:t>
      </w:r>
      <w:proofErr w:type="gramEnd"/>
      <w:r>
        <w:rPr>
          <w:color w:val="222222"/>
        </w:rPr>
        <w:t xml:space="preserve"> numbers put it at a fork. NPA is nearly double the industry norm. The High Priority client segment — income above INR 18L — is the clearest wealth management opportunity on the books, yet it has no dedicated RM coverage tracked anywhere. Both need to move at the same time, in the right order.</w:t>
      </w:r>
    </w:p>
    <w:p w14:paraId="2C1B8483" w14:textId="77777777" w:rsidR="00AA4D80" w:rsidRDefault="00AA4D80" w:rsidP="000F154E">
      <w:pPr>
        <w:spacing w:before="60"/>
      </w:pPr>
    </w:p>
    <w:p w14:paraId="36B75E32" w14:textId="77777777" w:rsidR="00AA4D80" w:rsidRDefault="00000000" w:rsidP="000F154E">
      <w:pPr>
        <w:pBdr>
          <w:bottom w:val="single" w:sz="5" w:space="1" w:color="2E75B6"/>
        </w:pBdr>
        <w:spacing w:before="220" w:after="50"/>
      </w:pPr>
      <w:r>
        <w:rPr>
          <w:b/>
          <w:bCs/>
          <w:caps/>
          <w:color w:val="1F4E79"/>
          <w:sz w:val="26"/>
          <w:szCs w:val="26"/>
        </w:rPr>
        <w:t>3. Problem Statement</w:t>
      </w:r>
    </w:p>
    <w:p w14:paraId="33A57E61" w14:textId="77777777" w:rsidR="00AA4D80" w:rsidRDefault="00000000" w:rsidP="000F154E">
      <w:pPr>
        <w:spacing w:before="160" w:after="40"/>
      </w:pPr>
      <w:r>
        <w:rPr>
          <w:b/>
          <w:bCs/>
          <w:color w:val="2E75B6"/>
          <w:sz w:val="22"/>
          <w:szCs w:val="22"/>
        </w:rPr>
        <w:t>Primary Problem</w:t>
      </w:r>
    </w:p>
    <w:p w14:paraId="6EEE1D63" w14:textId="50BEB45B" w:rsidR="00AA4D80" w:rsidRDefault="00087381" w:rsidP="000F154E">
      <w:pPr>
        <w:spacing w:before="30" w:after="50"/>
        <w:jc w:val="both"/>
      </w:pPr>
      <w:r>
        <w:rPr>
          <w:color w:val="222222"/>
        </w:rPr>
        <w:t>Data is split across excel files</w:t>
      </w:r>
      <w:r w:rsidR="00000000">
        <w:rPr>
          <w:color w:val="222222"/>
        </w:rPr>
        <w:t xml:space="preserve"> with no connecting logic between credit quality, customer value, and branch execution. The result: the CRO sees NPA; the Branch Manager sees AUM; no one sees both together with context.</w:t>
      </w:r>
    </w:p>
    <w:p w14:paraId="3FEA4A1D" w14:textId="77777777" w:rsidR="00AA4D80" w:rsidRDefault="00000000" w:rsidP="000F154E">
      <w:pPr>
        <w:spacing w:before="160" w:after="40"/>
      </w:pPr>
      <w:r>
        <w:rPr>
          <w:b/>
          <w:bCs/>
          <w:color w:val="2E75B6"/>
          <w:sz w:val="22"/>
          <w:szCs w:val="22"/>
        </w:rPr>
        <w:t>Four specific gaps in the FY 2024–25 data</w:t>
      </w:r>
    </w:p>
    <w:p w14:paraId="1A2A0AC9" w14:textId="77777777" w:rsidR="00AA4D80" w:rsidRDefault="00000000" w:rsidP="000F154E">
      <w:pPr>
        <w:pStyle w:val="ListParagraph"/>
        <w:numPr>
          <w:ilvl w:val="0"/>
          <w:numId w:val="2"/>
        </w:numPr>
        <w:spacing w:before="28" w:after="28"/>
      </w:pPr>
      <w:r>
        <w:rPr>
          <w:b/>
          <w:bCs/>
          <w:color w:val="1F4E79"/>
        </w:rPr>
        <w:t xml:space="preserve">Credit </w:t>
      </w:r>
      <w:proofErr w:type="gramStart"/>
      <w:r>
        <w:rPr>
          <w:b/>
          <w:bCs/>
          <w:color w:val="1F4E79"/>
        </w:rPr>
        <w:t xml:space="preserve">Risk  </w:t>
      </w:r>
      <w:r>
        <w:rPr>
          <w:color w:val="222222"/>
        </w:rPr>
        <w:t>NPA</w:t>
      </w:r>
      <w:proofErr w:type="gramEnd"/>
      <w:r>
        <w:rPr>
          <w:color w:val="222222"/>
        </w:rPr>
        <w:t xml:space="preserve"> at ~6.0% against a 3–4% industry norm. Median CIBIL among active credit card holders is 603 — below the 650 floor the RBI expects for unsecured lending. No automated early warning process exists; accounts go bad before anyone is alerted.</w:t>
      </w:r>
    </w:p>
    <w:p w14:paraId="59EC8919" w14:textId="77777777" w:rsidR="00AA4D80" w:rsidRDefault="00000000" w:rsidP="000F154E">
      <w:pPr>
        <w:pStyle w:val="ListParagraph"/>
        <w:numPr>
          <w:ilvl w:val="0"/>
          <w:numId w:val="2"/>
        </w:numPr>
        <w:spacing w:before="28" w:after="28"/>
      </w:pPr>
      <w:r>
        <w:rPr>
          <w:b/>
          <w:bCs/>
          <w:color w:val="1F4E79"/>
        </w:rPr>
        <w:t xml:space="preserve">Customer </w:t>
      </w:r>
      <w:proofErr w:type="gramStart"/>
      <w:r>
        <w:rPr>
          <w:b/>
          <w:bCs/>
          <w:color w:val="1F4E79"/>
        </w:rPr>
        <w:t xml:space="preserve">Gaps  </w:t>
      </w:r>
      <w:r>
        <w:rPr>
          <w:color w:val="222222"/>
        </w:rPr>
        <w:t>Women</w:t>
      </w:r>
      <w:proofErr w:type="gramEnd"/>
      <w:r>
        <w:rPr>
          <w:color w:val="222222"/>
        </w:rPr>
        <w:t xml:space="preserve"> hold more than a third of all accounts but the bank has no product built for them and no analytical view of their income or credit behaviour. Potential Category clients in Lucknow, Ahmedabad, Jaipur, and Gaya carry solid CIBIL scores but get the same generic treatment as everyone else.</w:t>
      </w:r>
    </w:p>
    <w:p w14:paraId="62547A3E" w14:textId="77777777" w:rsidR="00AA4D80" w:rsidRDefault="00000000" w:rsidP="000F154E">
      <w:pPr>
        <w:pStyle w:val="ListParagraph"/>
        <w:numPr>
          <w:ilvl w:val="0"/>
          <w:numId w:val="2"/>
        </w:numPr>
        <w:spacing w:before="28" w:after="28"/>
      </w:pPr>
      <w:r>
        <w:rPr>
          <w:b/>
          <w:bCs/>
          <w:color w:val="1F4E79"/>
        </w:rPr>
        <w:t xml:space="preserve">Missed </w:t>
      </w:r>
      <w:proofErr w:type="gramStart"/>
      <w:r>
        <w:rPr>
          <w:b/>
          <w:bCs/>
          <w:color w:val="1F4E79"/>
        </w:rPr>
        <w:t xml:space="preserve">Revenue  </w:t>
      </w:r>
      <w:r>
        <w:rPr>
          <w:color w:val="222222"/>
        </w:rPr>
        <w:t>High</w:t>
      </w:r>
      <w:proofErr w:type="gramEnd"/>
      <w:r>
        <w:rPr>
          <w:color w:val="222222"/>
        </w:rPr>
        <w:t xml:space="preserve"> Priority clients earning above INR 18L have the income to hold SIPs, PMS products, and bonds — but RM assignment for this group is neither tracked nor enforced. The two investment tables sat unused in the data model until this project.</w:t>
      </w:r>
    </w:p>
    <w:p w14:paraId="5DE28785" w14:textId="77777777" w:rsidR="00AA4D80" w:rsidRDefault="00000000" w:rsidP="000F154E">
      <w:pPr>
        <w:pStyle w:val="ListParagraph"/>
        <w:numPr>
          <w:ilvl w:val="0"/>
          <w:numId w:val="2"/>
        </w:numPr>
        <w:spacing w:before="28" w:after="28"/>
        <w:ind w:left="522" w:hanging="261"/>
      </w:pPr>
      <w:r>
        <w:rPr>
          <w:b/>
          <w:bCs/>
          <w:color w:val="1F4E79"/>
        </w:rPr>
        <w:lastRenderedPageBreak/>
        <w:t xml:space="preserve">Operational </w:t>
      </w:r>
      <w:proofErr w:type="spellStart"/>
      <w:proofErr w:type="gramStart"/>
      <w:r>
        <w:rPr>
          <w:b/>
          <w:bCs/>
          <w:color w:val="1F4E79"/>
        </w:rPr>
        <w:t>Blindspots</w:t>
      </w:r>
      <w:proofErr w:type="spellEnd"/>
      <w:r>
        <w:rPr>
          <w:b/>
          <w:bCs/>
          <w:color w:val="1F4E79"/>
        </w:rPr>
        <w:t xml:space="preserve">  </w:t>
      </w:r>
      <w:r>
        <w:rPr>
          <w:color w:val="222222"/>
        </w:rPr>
        <w:t>Complaints</w:t>
      </w:r>
      <w:proofErr w:type="gramEnd"/>
      <w:r>
        <w:rPr>
          <w:color w:val="222222"/>
        </w:rPr>
        <w:t xml:space="preserve"> are visible only as a city-level count. There is no resolution rate, no category split, no time-to-close. The transaction channel table (Mobile, Net Banking, Branch, ATM) has never been trended — so there is no way to measure how fast the customer base is actually shifting to digital.</w:t>
      </w:r>
    </w:p>
    <w:p w14:paraId="5675E1D7" w14:textId="77777777" w:rsidR="00AA4D80" w:rsidRDefault="00AA4D80" w:rsidP="000F154E">
      <w:pPr>
        <w:spacing w:before="60"/>
      </w:pPr>
    </w:p>
    <w:p w14:paraId="0365DDDC" w14:textId="77777777" w:rsidR="00AA4D80" w:rsidRDefault="00000000" w:rsidP="000F154E">
      <w:pPr>
        <w:pBdr>
          <w:bottom w:val="single" w:sz="5" w:space="1" w:color="2E75B6"/>
        </w:pBdr>
        <w:spacing w:before="220" w:after="50"/>
      </w:pPr>
      <w:r>
        <w:rPr>
          <w:b/>
          <w:bCs/>
          <w:caps/>
          <w:color w:val="1F4E79"/>
          <w:sz w:val="26"/>
          <w:szCs w:val="26"/>
        </w:rPr>
        <w:t>4. Who This Dashboard Serves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3400"/>
        <w:gridCol w:w="3480"/>
      </w:tblGrid>
      <w:tr w:rsidR="00AA4D80" w14:paraId="2890456D" w14:textId="77777777">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75FCF1D9" w14:textId="77777777" w:rsidR="00AA4D80" w:rsidRDefault="00000000" w:rsidP="000F154E">
            <w:r>
              <w:rPr>
                <w:b/>
                <w:bCs/>
                <w:color w:val="FFFFFF"/>
                <w:sz w:val="18"/>
                <w:szCs w:val="18"/>
              </w:rPr>
              <w:t>Stakeholder</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3D70321" w14:textId="77777777" w:rsidR="00AA4D80" w:rsidRDefault="00000000" w:rsidP="000F154E">
            <w:r>
              <w:rPr>
                <w:b/>
                <w:bCs/>
                <w:color w:val="FFFFFF"/>
                <w:sz w:val="18"/>
                <w:szCs w:val="18"/>
              </w:rPr>
              <w:t>Role</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6A9FAEAD" w14:textId="77777777" w:rsidR="00AA4D80" w:rsidRDefault="00000000" w:rsidP="000F154E">
            <w:r>
              <w:rPr>
                <w:b/>
                <w:bCs/>
                <w:color w:val="FFFFFF"/>
                <w:sz w:val="18"/>
                <w:szCs w:val="18"/>
              </w:rPr>
              <w:t>What's missing today</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AFD0AB4" w14:textId="77777777" w:rsidR="00AA4D80" w:rsidRDefault="00000000" w:rsidP="000F154E">
            <w:r>
              <w:rPr>
                <w:b/>
                <w:bCs/>
                <w:color w:val="FFFFFF"/>
                <w:sz w:val="18"/>
                <w:szCs w:val="18"/>
              </w:rPr>
              <w:t>What they need from this dashboard</w:t>
            </w:r>
          </w:p>
        </w:tc>
      </w:tr>
      <w:tr w:rsidR="00AA4D80" w14:paraId="3B6F1251"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1C43C9E" w14:textId="77777777" w:rsidR="00AA4D80" w:rsidRDefault="00000000" w:rsidP="000F154E">
            <w:r>
              <w:rPr>
                <w:b/>
                <w:bCs/>
                <w:color w:val="222222"/>
                <w:sz w:val="18"/>
                <w:szCs w:val="18"/>
              </w:rPr>
              <w:t>Chief Risk Officer</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205640F5" w14:textId="77777777" w:rsidR="00AA4D80" w:rsidRDefault="00000000" w:rsidP="000F154E">
            <w:r>
              <w:rPr>
                <w:color w:val="222222"/>
                <w:sz w:val="18"/>
                <w:szCs w:val="18"/>
              </w:rPr>
              <w:t>Risk Governance</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2806BC64" w14:textId="77777777" w:rsidR="00AA4D80" w:rsidRDefault="00000000" w:rsidP="000F154E">
            <w:r>
              <w:rPr>
                <w:color w:val="222222"/>
                <w:sz w:val="18"/>
                <w:szCs w:val="18"/>
              </w:rPr>
              <w:t>NPA reported monthly in isolation — no early-stage signals or branch-level breakdown</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25760373" w14:textId="77777777" w:rsidR="00AA4D80" w:rsidRDefault="00000000" w:rsidP="000F154E">
            <w:r>
              <w:rPr>
                <w:color w:val="222222"/>
                <w:sz w:val="18"/>
                <w:szCs w:val="18"/>
              </w:rPr>
              <w:t xml:space="preserve">NPA %, clients missing ≥3 </w:t>
            </w:r>
            <w:proofErr w:type="spellStart"/>
            <w:r>
              <w:rPr>
                <w:color w:val="222222"/>
                <w:sz w:val="18"/>
                <w:szCs w:val="18"/>
              </w:rPr>
              <w:t>installments</w:t>
            </w:r>
            <w:proofErr w:type="spellEnd"/>
            <w:r>
              <w:rPr>
                <w:color w:val="222222"/>
                <w:sz w:val="18"/>
                <w:szCs w:val="18"/>
              </w:rPr>
              <w:t>, split by risk band and loan type</w:t>
            </w:r>
          </w:p>
        </w:tc>
      </w:tr>
      <w:tr w:rsidR="00AA4D80" w14:paraId="353A8F1F" w14:textId="77777777">
        <w:tc>
          <w:tcPr>
            <w:tcW w:w="19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2F1E8877" w14:textId="77777777" w:rsidR="00AA4D80" w:rsidRDefault="00000000" w:rsidP="000F154E">
            <w:r>
              <w:rPr>
                <w:b/>
                <w:bCs/>
                <w:color w:val="222222"/>
                <w:sz w:val="18"/>
                <w:szCs w:val="18"/>
              </w:rPr>
              <w:t>Branch Manager</w:t>
            </w:r>
          </w:p>
        </w:tc>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41660B4E" w14:textId="77777777" w:rsidR="00AA4D80" w:rsidRDefault="00000000" w:rsidP="000F154E">
            <w:r>
              <w:rPr>
                <w:color w:val="222222"/>
                <w:sz w:val="18"/>
                <w:szCs w:val="18"/>
              </w:rPr>
              <w:t>Operations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02CC9385" w14:textId="77777777" w:rsidR="00AA4D80" w:rsidRDefault="00000000" w:rsidP="000F154E">
            <w:r>
              <w:rPr>
                <w:color w:val="222222"/>
                <w:sz w:val="18"/>
                <w:szCs w:val="18"/>
              </w:rPr>
              <w:t>Weekly Excel MIS — no way to compare branch performance on a single screen</w:t>
            </w:r>
          </w:p>
        </w:tc>
        <w:tc>
          <w:tcPr>
            <w:tcW w:w="34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D44032B" w14:textId="77777777" w:rsidR="00AA4D80" w:rsidRDefault="00000000" w:rsidP="000F154E">
            <w:r>
              <w:rPr>
                <w:color w:val="222222"/>
                <w:sz w:val="18"/>
                <w:szCs w:val="18"/>
              </w:rPr>
              <w:t>AUM by branch, card penetration rate, complaint volume, YoY account growth</w:t>
            </w:r>
          </w:p>
        </w:tc>
      </w:tr>
      <w:tr w:rsidR="00AA4D80" w14:paraId="67E1CEC4"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22916477" w14:textId="77777777" w:rsidR="00AA4D80" w:rsidRDefault="00000000" w:rsidP="000F154E">
            <w:r>
              <w:rPr>
                <w:b/>
                <w:bCs/>
                <w:color w:val="222222"/>
                <w:sz w:val="18"/>
                <w:szCs w:val="18"/>
              </w:rPr>
              <w:t>Relationship Manager</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3EC7F8A8" w14:textId="77777777" w:rsidR="00AA4D80" w:rsidRDefault="00000000" w:rsidP="000F154E">
            <w:r>
              <w:rPr>
                <w:color w:val="222222"/>
                <w:sz w:val="18"/>
                <w:szCs w:val="18"/>
              </w:rPr>
              <w:t>Client Coverage</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89B0D31" w14:textId="77777777" w:rsidR="00AA4D80" w:rsidRDefault="00000000" w:rsidP="000F154E">
            <w:r>
              <w:rPr>
                <w:color w:val="222222"/>
                <w:sz w:val="18"/>
                <w:szCs w:val="18"/>
              </w:rPr>
              <w:t xml:space="preserve">No view of their own book — AUM, investment status, missed </w:t>
            </w:r>
            <w:proofErr w:type="spellStart"/>
            <w:r>
              <w:rPr>
                <w:color w:val="222222"/>
                <w:sz w:val="18"/>
                <w:szCs w:val="18"/>
              </w:rPr>
              <w:t>installments</w:t>
            </w:r>
            <w:proofErr w:type="spellEnd"/>
            <w:r>
              <w:rPr>
                <w:color w:val="222222"/>
                <w:sz w:val="18"/>
                <w:szCs w:val="18"/>
              </w:rPr>
              <w:t xml:space="preserve"> for assigned clients</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F55C135" w14:textId="77777777" w:rsidR="00AA4D80" w:rsidRDefault="00000000" w:rsidP="000F154E">
            <w:r>
              <w:rPr>
                <w:color w:val="222222"/>
                <w:sz w:val="18"/>
                <w:szCs w:val="18"/>
              </w:rPr>
              <w:t>RM-level AUM, client investment and repayment status — Pages 3 and 5</w:t>
            </w:r>
          </w:p>
        </w:tc>
      </w:tr>
      <w:tr w:rsidR="00AA4D80" w14:paraId="313D1CEC" w14:textId="77777777">
        <w:tc>
          <w:tcPr>
            <w:tcW w:w="19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5CC61E1A" w14:textId="77777777" w:rsidR="00AA4D80" w:rsidRDefault="00000000" w:rsidP="000F154E">
            <w:r>
              <w:rPr>
                <w:b/>
                <w:bCs/>
                <w:color w:val="222222"/>
                <w:sz w:val="18"/>
                <w:szCs w:val="18"/>
              </w:rPr>
              <w:t>Marketing Head</w:t>
            </w:r>
          </w:p>
        </w:tc>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77DB0AD" w14:textId="77777777" w:rsidR="00AA4D80" w:rsidRDefault="00000000" w:rsidP="000F154E">
            <w:r>
              <w:rPr>
                <w:color w:val="222222"/>
                <w:sz w:val="18"/>
                <w:szCs w:val="18"/>
              </w:rPr>
              <w:t>Product &amp; Campaigns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6BEF9F88" w14:textId="77777777" w:rsidR="00AA4D80" w:rsidRDefault="00000000" w:rsidP="000F154E">
            <w:r>
              <w:rPr>
                <w:color w:val="222222"/>
                <w:sz w:val="18"/>
                <w:szCs w:val="18"/>
              </w:rPr>
              <w:t>Merchant spend data and female/Tier-2 client profiles are in separate systems</w:t>
            </w:r>
          </w:p>
        </w:tc>
        <w:tc>
          <w:tcPr>
            <w:tcW w:w="34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62C81792" w14:textId="77777777" w:rsidR="00AA4D80" w:rsidRDefault="00000000" w:rsidP="000F154E">
            <w:r>
              <w:rPr>
                <w:color w:val="222222"/>
                <w:sz w:val="18"/>
                <w:szCs w:val="18"/>
              </w:rPr>
              <w:t>Top merchants by spend (Flipkart, Myntra, Amazon, Uber), card segments by gender and occupation</w:t>
            </w:r>
          </w:p>
        </w:tc>
      </w:tr>
      <w:tr w:rsidR="00AA4D80" w14:paraId="64750382"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08B5E42" w14:textId="77777777" w:rsidR="00AA4D80" w:rsidRDefault="00000000" w:rsidP="000F154E">
            <w:r>
              <w:rPr>
                <w:b/>
                <w:bCs/>
                <w:color w:val="222222"/>
                <w:sz w:val="18"/>
                <w:szCs w:val="18"/>
              </w:rPr>
              <w:t>CFO / Finance</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DABB941" w14:textId="77777777" w:rsidR="00AA4D80" w:rsidRDefault="00000000" w:rsidP="000F154E">
            <w:r>
              <w:rPr>
                <w:color w:val="222222"/>
                <w:sz w:val="18"/>
                <w:szCs w:val="18"/>
              </w:rPr>
              <w:t>Financial Oversight</w:t>
            </w:r>
          </w:p>
        </w:tc>
        <w:tc>
          <w:tcPr>
            <w:tcW w:w="3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FEEE40E" w14:textId="77777777" w:rsidR="00AA4D80" w:rsidRDefault="00000000" w:rsidP="000F154E">
            <w:r>
              <w:rPr>
                <w:color w:val="222222"/>
                <w:sz w:val="18"/>
                <w:szCs w:val="18"/>
              </w:rPr>
              <w:t>AUM is one total number — no RM attribution, no investment type split, no YoY growth measure</w:t>
            </w:r>
          </w:p>
        </w:tc>
        <w:tc>
          <w:tcPr>
            <w:tcW w:w="34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AAFC714" w14:textId="77777777" w:rsidR="00AA4D80" w:rsidRDefault="00000000" w:rsidP="000F154E">
            <w:r>
              <w:rPr>
                <w:color w:val="222222"/>
                <w:sz w:val="18"/>
                <w:szCs w:val="18"/>
              </w:rPr>
              <w:t>AUM YoY Growth %, investment mix, income profile of the High Priority segment</w:t>
            </w:r>
          </w:p>
        </w:tc>
      </w:tr>
      <w:tr w:rsidR="00AA4D80" w14:paraId="2075597C" w14:textId="77777777">
        <w:tc>
          <w:tcPr>
            <w:tcW w:w="19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81489BC" w14:textId="77777777" w:rsidR="00AA4D80" w:rsidRDefault="00000000" w:rsidP="000F154E">
            <w:r>
              <w:rPr>
                <w:b/>
                <w:bCs/>
                <w:color w:val="222222"/>
                <w:sz w:val="18"/>
                <w:szCs w:val="18"/>
              </w:rPr>
              <w:t>RBI Compliance Officer</w:t>
            </w:r>
          </w:p>
        </w:tc>
        <w:tc>
          <w:tcPr>
            <w:tcW w:w="1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46F4E6A2" w14:textId="77777777" w:rsidR="00AA4D80" w:rsidRDefault="00000000" w:rsidP="000F154E">
            <w:r>
              <w:rPr>
                <w:color w:val="222222"/>
                <w:sz w:val="18"/>
                <w:szCs w:val="18"/>
              </w:rPr>
              <w:t>Regulatory</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C40C013" w14:textId="77777777" w:rsidR="00AA4D80" w:rsidRDefault="00000000" w:rsidP="000F154E">
            <w:r>
              <w:rPr>
                <w:color w:val="222222"/>
                <w:sz w:val="18"/>
                <w:szCs w:val="18"/>
              </w:rPr>
              <w:t>No consolidated view to demonstrate CIBIL-based underwriting compliance to an auditor</w:t>
            </w:r>
          </w:p>
        </w:tc>
        <w:tc>
          <w:tcPr>
            <w:tcW w:w="34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1B156FF9" w14:textId="77777777" w:rsidR="00AA4D80" w:rsidRDefault="00000000" w:rsidP="000F154E">
            <w:r>
              <w:rPr>
                <w:color w:val="222222"/>
                <w:sz w:val="18"/>
                <w:szCs w:val="18"/>
              </w:rPr>
              <w:t>NPA % vs benchmark, median credit score distribution, risk-band loan breakdown</w:t>
            </w:r>
          </w:p>
        </w:tc>
      </w:tr>
    </w:tbl>
    <w:p w14:paraId="50F69C19" w14:textId="77777777" w:rsidR="00AA4D80" w:rsidRDefault="00AA4D80" w:rsidP="000F154E">
      <w:pPr>
        <w:spacing w:before="60"/>
      </w:pPr>
    </w:p>
    <w:p w14:paraId="1FCF51D0" w14:textId="77777777" w:rsidR="00AA4D80" w:rsidRDefault="00000000" w:rsidP="000F154E">
      <w:pPr>
        <w:pBdr>
          <w:bottom w:val="single" w:sz="5" w:space="1" w:color="2E75B6"/>
        </w:pBdr>
        <w:spacing w:before="220" w:after="50"/>
      </w:pPr>
      <w:r>
        <w:rPr>
          <w:b/>
          <w:bCs/>
          <w:caps/>
          <w:color w:val="1F4E79"/>
          <w:sz w:val="26"/>
          <w:szCs w:val="26"/>
        </w:rPr>
        <w:t>5. KPIs Built into the Dashboard</w:t>
      </w:r>
    </w:p>
    <w:p w14:paraId="6F824D29" w14:textId="77777777" w:rsidR="00AA4D80" w:rsidRDefault="00000000" w:rsidP="000F154E">
      <w:pPr>
        <w:spacing w:before="160" w:after="40"/>
      </w:pPr>
      <w:r>
        <w:rPr>
          <w:b/>
          <w:bCs/>
          <w:color w:val="2E75B6"/>
          <w:sz w:val="22"/>
          <w:szCs w:val="22"/>
        </w:rPr>
        <w:t>5 DAX Measures — Implemented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1900"/>
        <w:gridCol w:w="2400"/>
      </w:tblGrid>
      <w:tr w:rsidR="00AA4D80" w14:paraId="313337D3"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74D70B5D" w14:textId="77777777" w:rsidR="00AA4D80" w:rsidRDefault="00000000" w:rsidP="000F154E">
            <w:r>
              <w:rPr>
                <w:b/>
                <w:bCs/>
                <w:color w:val="FFFFFF"/>
                <w:sz w:val="18"/>
                <w:szCs w:val="18"/>
              </w:rPr>
              <w:t>Measure</w:t>
            </w:r>
          </w:p>
        </w:tc>
        <w:tc>
          <w:tcPr>
            <w:tcW w:w="358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78DBD728" w14:textId="77777777" w:rsidR="00AA4D80" w:rsidRDefault="00000000" w:rsidP="000F154E">
            <w:r>
              <w:rPr>
                <w:b/>
                <w:bCs/>
                <w:color w:val="FFFFFF"/>
                <w:sz w:val="18"/>
                <w:szCs w:val="18"/>
              </w:rPr>
              <w:t>DAX Logic</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24DA1AC9" w14:textId="77777777" w:rsidR="00AA4D80" w:rsidRDefault="00000000" w:rsidP="000F154E">
            <w:r>
              <w:rPr>
                <w:b/>
                <w:bCs/>
                <w:color w:val="FFFFFF"/>
                <w:sz w:val="18"/>
                <w:szCs w:val="18"/>
              </w:rPr>
              <w:t>What it tells you</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5E42513B" w14:textId="77777777" w:rsidR="00AA4D80" w:rsidRDefault="00000000" w:rsidP="000F154E">
            <w:r>
              <w:rPr>
                <w:b/>
                <w:bCs/>
                <w:color w:val="FFFFFF"/>
                <w:sz w:val="18"/>
                <w:szCs w:val="18"/>
              </w:rPr>
              <w:t>Where it needs to land</w:t>
            </w:r>
          </w:p>
        </w:tc>
      </w:tr>
      <w:tr w:rsidR="00AA4D80" w14:paraId="3DB582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4F16901" w14:textId="77777777" w:rsidR="00AA4D80" w:rsidRDefault="00000000" w:rsidP="000F154E">
            <w:r>
              <w:rPr>
                <w:b/>
                <w:bCs/>
                <w:color w:val="222222"/>
                <w:sz w:val="18"/>
                <w:szCs w:val="18"/>
              </w:rPr>
              <w:t>NPA %</w:t>
            </w:r>
          </w:p>
        </w:tc>
        <w:tc>
          <w:tcPr>
            <w:tcW w:w="35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C560C8E" w14:textId="77777777" w:rsidR="00AA4D80" w:rsidRDefault="00000000" w:rsidP="000F154E">
            <w:proofErr w:type="gramStart"/>
            <w:r>
              <w:rPr>
                <w:color w:val="222222"/>
                <w:sz w:val="18"/>
                <w:szCs w:val="18"/>
              </w:rPr>
              <w:t>DIVIDE( NPA</w:t>
            </w:r>
            <w:proofErr w:type="gramEnd"/>
            <w:r>
              <w:rPr>
                <w:color w:val="222222"/>
                <w:sz w:val="18"/>
                <w:szCs w:val="18"/>
              </w:rPr>
              <w:t xml:space="preserve"> loan count, Total loans, </w:t>
            </w:r>
            <w:proofErr w:type="gramStart"/>
            <w:r>
              <w:rPr>
                <w:color w:val="222222"/>
                <w:sz w:val="18"/>
                <w:szCs w:val="18"/>
              </w:rPr>
              <w:t>0 )</w:t>
            </w:r>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5C2C581C" w14:textId="77777777" w:rsidR="00AA4D80" w:rsidRDefault="00000000" w:rsidP="000F154E">
            <w:r>
              <w:rPr>
                <w:color w:val="222222"/>
                <w:sz w:val="18"/>
                <w:szCs w:val="18"/>
              </w:rPr>
              <w:t>Loan portfolio health — the headline risk number</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2C3D10AD" w14:textId="77777777" w:rsidR="00AA4D80" w:rsidRDefault="00000000" w:rsidP="000F154E">
            <w:r>
              <w:rPr>
                <w:color w:val="222222"/>
                <w:sz w:val="18"/>
                <w:szCs w:val="18"/>
              </w:rPr>
              <w:t>Target ≤4%. Currently ~6%</w:t>
            </w:r>
          </w:p>
        </w:tc>
      </w:tr>
      <w:tr w:rsidR="00AA4D80" w14:paraId="399600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76BD1C0" w14:textId="77777777" w:rsidR="00AA4D80" w:rsidRDefault="00000000" w:rsidP="000F154E">
            <w:r>
              <w:rPr>
                <w:b/>
                <w:bCs/>
                <w:color w:val="222222"/>
                <w:sz w:val="18"/>
                <w:szCs w:val="18"/>
              </w:rPr>
              <w:t xml:space="preserve">Count People Missing ≥3 </w:t>
            </w:r>
            <w:proofErr w:type="spellStart"/>
            <w:r>
              <w:rPr>
                <w:b/>
                <w:bCs/>
                <w:color w:val="222222"/>
                <w:sz w:val="18"/>
                <w:szCs w:val="18"/>
              </w:rPr>
              <w:t>Installments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E5A99EC" w14:textId="77777777" w:rsidR="00AA4D80" w:rsidRDefault="00000000" w:rsidP="000F154E">
            <w:r>
              <w:rPr>
                <w:color w:val="222222"/>
                <w:sz w:val="18"/>
                <w:szCs w:val="18"/>
              </w:rPr>
              <w:t>DISTINCTCOUNT of customers with ≥3 missed payments in Loan Repayment table</w:t>
            </w:r>
          </w:p>
        </w:tc>
        <w:tc>
          <w:tcPr>
            <w:tcW w:w="19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4CFF794" w14:textId="77777777" w:rsidR="00AA4D80" w:rsidRDefault="00000000" w:rsidP="000F154E">
            <w:r>
              <w:rPr>
                <w:color w:val="222222"/>
                <w:sz w:val="18"/>
                <w:szCs w:val="18"/>
              </w:rPr>
              <w:t>Early default signal — catchable before the NPA clock starts</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6959EAEA" w14:textId="77777777" w:rsidR="00AA4D80" w:rsidRDefault="00000000" w:rsidP="000F154E">
            <w:r>
              <w:rPr>
                <w:color w:val="222222"/>
                <w:sz w:val="18"/>
                <w:szCs w:val="18"/>
              </w:rPr>
              <w:t>Should trend down quarter-on-quarter</w:t>
            </w:r>
          </w:p>
        </w:tc>
      </w:tr>
      <w:tr w:rsidR="00AA4D80" w14:paraId="743E0F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A9D309F" w14:textId="77777777" w:rsidR="00AA4D80" w:rsidRDefault="00000000" w:rsidP="000F154E">
            <w:r>
              <w:rPr>
                <w:b/>
                <w:bCs/>
                <w:color w:val="222222"/>
                <w:sz w:val="18"/>
                <w:szCs w:val="18"/>
              </w:rPr>
              <w:t>YoY Account Opening Growth %</w:t>
            </w:r>
          </w:p>
        </w:tc>
        <w:tc>
          <w:tcPr>
            <w:tcW w:w="35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B5F179C" w14:textId="77777777" w:rsidR="00AA4D80" w:rsidRDefault="00000000" w:rsidP="000F154E">
            <w:proofErr w:type="gramStart"/>
            <w:r>
              <w:rPr>
                <w:color w:val="222222"/>
                <w:sz w:val="18"/>
                <w:szCs w:val="18"/>
              </w:rPr>
              <w:t>DIVIDE( [</w:t>
            </w:r>
            <w:proofErr w:type="gramEnd"/>
            <w:r>
              <w:rPr>
                <w:color w:val="222222"/>
                <w:sz w:val="18"/>
                <w:szCs w:val="18"/>
              </w:rPr>
              <w:t xml:space="preserve">CY Accounts] − [PY Accounts], [PY Accounts], </w:t>
            </w:r>
            <w:proofErr w:type="gramStart"/>
            <w:r>
              <w:rPr>
                <w:color w:val="222222"/>
                <w:sz w:val="18"/>
                <w:szCs w:val="18"/>
              </w:rPr>
              <w:t>0 )</w:t>
            </w:r>
            <w:proofErr w:type="gramEnd"/>
            <w:r>
              <w:rPr>
                <w:color w:val="222222"/>
                <w:sz w:val="18"/>
                <w:szCs w:val="18"/>
              </w:rPr>
              <w:t xml:space="preserve"> — uses SAMEPERIODLASTYEAR</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5A1978F6" w14:textId="77777777" w:rsidR="00AA4D80" w:rsidRDefault="00000000" w:rsidP="000F154E">
            <w:r>
              <w:rPr>
                <w:color w:val="222222"/>
                <w:sz w:val="18"/>
                <w:szCs w:val="18"/>
              </w:rPr>
              <w:t>New customer acquisition pace, year on year</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E42658A" w14:textId="77777777" w:rsidR="00AA4D80" w:rsidRDefault="00000000" w:rsidP="000F154E">
            <w:r>
              <w:rPr>
                <w:color w:val="222222"/>
                <w:sz w:val="18"/>
                <w:szCs w:val="18"/>
              </w:rPr>
              <w:t>Target ≥10% annually</w:t>
            </w:r>
          </w:p>
        </w:tc>
      </w:tr>
      <w:tr w:rsidR="00AA4D80" w14:paraId="2CA4D2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0BE121E9" w14:textId="77777777" w:rsidR="00AA4D80" w:rsidRDefault="00000000" w:rsidP="000F154E">
            <w:r>
              <w:rPr>
                <w:b/>
                <w:bCs/>
                <w:color w:val="222222"/>
                <w:sz w:val="18"/>
                <w:szCs w:val="18"/>
              </w:rPr>
              <w:t>AUM YoY Growth %</w:t>
            </w:r>
          </w:p>
        </w:tc>
        <w:tc>
          <w:tcPr>
            <w:tcW w:w="35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56DE8C22" w14:textId="77777777" w:rsidR="00AA4D80" w:rsidRDefault="00000000" w:rsidP="000F154E">
            <w:r>
              <w:rPr>
                <w:color w:val="222222"/>
                <w:sz w:val="18"/>
                <w:szCs w:val="18"/>
              </w:rPr>
              <w:t>Same structure as above, applied to AUM from Investments table</w:t>
            </w:r>
          </w:p>
        </w:tc>
        <w:tc>
          <w:tcPr>
            <w:tcW w:w="19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2B2DFCD" w14:textId="77777777" w:rsidR="00AA4D80" w:rsidRDefault="00000000" w:rsidP="000F154E">
            <w:r>
              <w:rPr>
                <w:color w:val="222222"/>
                <w:sz w:val="18"/>
                <w:szCs w:val="18"/>
              </w:rPr>
              <w:t>Whether managed assets are growing or shrinking</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13408116" w14:textId="77777777" w:rsidR="00AA4D80" w:rsidRDefault="00000000" w:rsidP="000F154E">
            <w:r>
              <w:rPr>
                <w:color w:val="222222"/>
                <w:sz w:val="18"/>
                <w:szCs w:val="18"/>
              </w:rPr>
              <w:t>Target ≥15% annually</w:t>
            </w:r>
          </w:p>
        </w:tc>
      </w:tr>
      <w:tr w:rsidR="00AA4D80" w14:paraId="091FFE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A322A35" w14:textId="77777777" w:rsidR="00AA4D80" w:rsidRDefault="00000000" w:rsidP="000F154E">
            <w:r>
              <w:rPr>
                <w:b/>
                <w:bCs/>
                <w:color w:val="222222"/>
                <w:sz w:val="18"/>
                <w:szCs w:val="18"/>
              </w:rPr>
              <w:t>Active Credit Cards</w:t>
            </w:r>
          </w:p>
        </w:tc>
        <w:tc>
          <w:tcPr>
            <w:tcW w:w="35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18A0F6B" w14:textId="77777777" w:rsidR="00AA4D80" w:rsidRDefault="00000000" w:rsidP="000F154E">
            <w:proofErr w:type="gramStart"/>
            <w:r>
              <w:rPr>
                <w:color w:val="222222"/>
                <w:sz w:val="18"/>
                <w:szCs w:val="18"/>
              </w:rPr>
              <w:t>CALCULATE( COUNT( Credit</w:t>
            </w:r>
            <w:proofErr w:type="gramEnd"/>
            <w:r>
              <w:rPr>
                <w:color w:val="222222"/>
                <w:sz w:val="18"/>
                <w:szCs w:val="18"/>
              </w:rPr>
              <w:t xml:space="preserve"> Cards[</w:t>
            </w:r>
            <w:proofErr w:type="spellStart"/>
            <w:r>
              <w:rPr>
                <w:color w:val="222222"/>
                <w:sz w:val="18"/>
                <w:szCs w:val="18"/>
              </w:rPr>
              <w:t>card_id</w:t>
            </w:r>
            <w:proofErr w:type="spellEnd"/>
            <w:proofErr w:type="gramStart"/>
            <w:r>
              <w:rPr>
                <w:color w:val="222222"/>
                <w:sz w:val="18"/>
                <w:szCs w:val="18"/>
              </w:rPr>
              <w:t>] )</w:t>
            </w:r>
            <w:proofErr w:type="gramEnd"/>
            <w:r>
              <w:rPr>
                <w:color w:val="222222"/>
                <w:sz w:val="18"/>
                <w:szCs w:val="18"/>
              </w:rPr>
              <w:t>, status = "Active</w:t>
            </w:r>
            <w:proofErr w:type="gramStart"/>
            <w:r>
              <w:rPr>
                <w:color w:val="222222"/>
                <w:sz w:val="18"/>
                <w:szCs w:val="18"/>
              </w:rPr>
              <w:t>" )</w:t>
            </w:r>
            <w:proofErr w:type="gramEnd"/>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287E3F62" w14:textId="77777777" w:rsidR="00AA4D80" w:rsidRDefault="00000000" w:rsidP="000F154E">
            <w:r>
              <w:rPr>
                <w:color w:val="222222"/>
                <w:sz w:val="18"/>
                <w:szCs w:val="18"/>
              </w:rPr>
              <w:t>Denominator for branch-level card penetration rate</w:t>
            </w:r>
          </w:p>
        </w:tc>
        <w:tc>
          <w:tcPr>
            <w:tcW w:w="24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E525F55" w14:textId="77777777" w:rsidR="00AA4D80" w:rsidRDefault="00000000" w:rsidP="000F154E">
            <w:r>
              <w:rPr>
                <w:color w:val="222222"/>
                <w:sz w:val="18"/>
                <w:szCs w:val="18"/>
              </w:rPr>
              <w:t>Trending upward month-on-month</w:t>
            </w:r>
          </w:p>
        </w:tc>
      </w:tr>
    </w:tbl>
    <w:p w14:paraId="258094B0" w14:textId="3F19D79B" w:rsidR="00AA4D80" w:rsidRDefault="00AA4D80" w:rsidP="000F154E">
      <w:pPr>
        <w:spacing w:before="28" w:after="28"/>
      </w:pPr>
    </w:p>
    <w:sectPr w:rsidR="00AA4D80">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C0C1F"/>
    <w:multiLevelType w:val="hybridMultilevel"/>
    <w:tmpl w:val="6EF2A268"/>
    <w:lvl w:ilvl="0" w:tplc="23388ADE">
      <w:start w:val="1"/>
      <w:numFmt w:val="bullet"/>
      <w:lvlText w:val="–"/>
      <w:lvlJc w:val="left"/>
      <w:pPr>
        <w:ind w:left="520" w:hanging="260"/>
      </w:pPr>
      <w:rPr>
        <w:b/>
        <w:bCs/>
        <w:color w:val="2E75B6"/>
      </w:rPr>
    </w:lvl>
    <w:lvl w:ilvl="1" w:tplc="E3F4A30A">
      <w:numFmt w:val="decimal"/>
      <w:lvlText w:val=""/>
      <w:lvlJc w:val="left"/>
    </w:lvl>
    <w:lvl w:ilvl="2" w:tplc="421A40B8">
      <w:numFmt w:val="decimal"/>
      <w:lvlText w:val=""/>
      <w:lvlJc w:val="left"/>
    </w:lvl>
    <w:lvl w:ilvl="3" w:tplc="3DF0B202">
      <w:numFmt w:val="decimal"/>
      <w:lvlText w:val=""/>
      <w:lvlJc w:val="left"/>
    </w:lvl>
    <w:lvl w:ilvl="4" w:tplc="6FD264CC">
      <w:numFmt w:val="decimal"/>
      <w:lvlText w:val=""/>
      <w:lvlJc w:val="left"/>
    </w:lvl>
    <w:lvl w:ilvl="5" w:tplc="4006787E">
      <w:numFmt w:val="decimal"/>
      <w:lvlText w:val=""/>
      <w:lvlJc w:val="left"/>
    </w:lvl>
    <w:lvl w:ilvl="6" w:tplc="10F8688C">
      <w:numFmt w:val="decimal"/>
      <w:lvlText w:val=""/>
      <w:lvlJc w:val="left"/>
    </w:lvl>
    <w:lvl w:ilvl="7" w:tplc="2CC601F0">
      <w:numFmt w:val="decimal"/>
      <w:lvlText w:val=""/>
      <w:lvlJc w:val="left"/>
    </w:lvl>
    <w:lvl w:ilvl="8" w:tplc="C4241CD0">
      <w:numFmt w:val="decimal"/>
      <w:lvlText w:val=""/>
      <w:lvlJc w:val="left"/>
    </w:lvl>
  </w:abstractNum>
  <w:abstractNum w:abstractNumId="1" w15:restartNumberingAfterBreak="0">
    <w:nsid w:val="59363D2B"/>
    <w:multiLevelType w:val="hybridMultilevel"/>
    <w:tmpl w:val="4378AD10"/>
    <w:lvl w:ilvl="0" w:tplc="AD24B49A">
      <w:start w:val="1"/>
      <w:numFmt w:val="bullet"/>
      <w:lvlText w:val="●"/>
      <w:lvlJc w:val="left"/>
      <w:pPr>
        <w:ind w:left="720" w:hanging="360"/>
      </w:pPr>
    </w:lvl>
    <w:lvl w:ilvl="1" w:tplc="EB70CB0E">
      <w:start w:val="1"/>
      <w:numFmt w:val="bullet"/>
      <w:lvlText w:val="○"/>
      <w:lvlJc w:val="left"/>
      <w:pPr>
        <w:ind w:left="1440" w:hanging="360"/>
      </w:pPr>
    </w:lvl>
    <w:lvl w:ilvl="2" w:tplc="8D6C0FE8">
      <w:start w:val="1"/>
      <w:numFmt w:val="bullet"/>
      <w:lvlText w:val="■"/>
      <w:lvlJc w:val="left"/>
      <w:pPr>
        <w:ind w:left="2160" w:hanging="360"/>
      </w:pPr>
    </w:lvl>
    <w:lvl w:ilvl="3" w:tplc="939C2A92">
      <w:start w:val="1"/>
      <w:numFmt w:val="bullet"/>
      <w:lvlText w:val="●"/>
      <w:lvlJc w:val="left"/>
      <w:pPr>
        <w:ind w:left="2880" w:hanging="360"/>
      </w:pPr>
    </w:lvl>
    <w:lvl w:ilvl="4" w:tplc="AA74BE14">
      <w:start w:val="1"/>
      <w:numFmt w:val="bullet"/>
      <w:lvlText w:val="○"/>
      <w:lvlJc w:val="left"/>
      <w:pPr>
        <w:ind w:left="3600" w:hanging="360"/>
      </w:pPr>
    </w:lvl>
    <w:lvl w:ilvl="5" w:tplc="BE5EB5BA">
      <w:start w:val="1"/>
      <w:numFmt w:val="bullet"/>
      <w:lvlText w:val="■"/>
      <w:lvlJc w:val="left"/>
      <w:pPr>
        <w:ind w:left="4320" w:hanging="360"/>
      </w:pPr>
    </w:lvl>
    <w:lvl w:ilvl="6" w:tplc="2DCAF572">
      <w:start w:val="1"/>
      <w:numFmt w:val="bullet"/>
      <w:lvlText w:val="●"/>
      <w:lvlJc w:val="left"/>
      <w:pPr>
        <w:ind w:left="5040" w:hanging="360"/>
      </w:pPr>
    </w:lvl>
    <w:lvl w:ilvl="7" w:tplc="B00E8DC6">
      <w:start w:val="1"/>
      <w:numFmt w:val="bullet"/>
      <w:lvlText w:val="●"/>
      <w:lvlJc w:val="left"/>
      <w:pPr>
        <w:ind w:left="5760" w:hanging="360"/>
      </w:pPr>
    </w:lvl>
    <w:lvl w:ilvl="8" w:tplc="4FE20B40">
      <w:start w:val="1"/>
      <w:numFmt w:val="bullet"/>
      <w:lvlText w:val="●"/>
      <w:lvlJc w:val="left"/>
      <w:pPr>
        <w:ind w:left="6480" w:hanging="360"/>
      </w:pPr>
    </w:lvl>
  </w:abstractNum>
  <w:num w:numId="1" w16cid:durableId="2104523951">
    <w:abstractNumId w:val="1"/>
    <w:lvlOverride w:ilvl="0">
      <w:startOverride w:val="1"/>
    </w:lvlOverride>
  </w:num>
  <w:num w:numId="2" w16cid:durableId="220364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D80"/>
    <w:rsid w:val="00087381"/>
    <w:rsid w:val="000D1CA8"/>
    <w:rsid w:val="000F154E"/>
    <w:rsid w:val="00AA4D80"/>
    <w:rsid w:val="00BB30EE"/>
    <w:rsid w:val="00D8751F"/>
    <w:rsid w:val="00E45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FA33"/>
  <w15:docId w15:val="{5C3DA2B9-CC8E-4280-A4FA-9D029341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50"/>
      <w:outlineLvl w:val="0"/>
    </w:pPr>
    <w:rPr>
      <w:b/>
      <w:bCs/>
      <w:caps/>
      <w:color w:val="1F4E79"/>
      <w:sz w:val="26"/>
      <w:szCs w:val="26"/>
    </w:rPr>
  </w:style>
  <w:style w:type="paragraph" w:styleId="Heading2">
    <w:name w:val="heading 2"/>
    <w:uiPriority w:val="9"/>
    <w:semiHidden/>
    <w:unhideWhenUsed/>
    <w:qFormat/>
    <w:pPr>
      <w:spacing w:before="160" w:after="4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868</Words>
  <Characters>4950</Characters>
  <Application>Microsoft Office Word</Application>
  <DocSecurity>0</DocSecurity>
  <Lines>41</Lines>
  <Paragraphs>11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Abhey Datta</cp:lastModifiedBy>
  <cp:revision>13</cp:revision>
  <dcterms:created xsi:type="dcterms:W3CDTF">2026-03-19T08:51:00Z</dcterms:created>
  <dcterms:modified xsi:type="dcterms:W3CDTF">2026-03-21T11:39:00Z</dcterms:modified>
</cp:coreProperties>
</file>