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Alternativas de Ferramentas para o Pipeline POA</w:t>
      </w:r>
    </w:p>
    <w:p>
      <w:r>
        <w:rPr>
          <w:b/>
        </w:rPr>
        <w:t xml:space="preserve">Objetivo: </w:t>
      </w:r>
      <w:r>
        <w:t>listar alternativas gratuitas e atuais para as etapas do POA, priorizando ferramentas fáceis de usar e que possam reduzir etapas manuais. Quando não há uma vantagem clara, a recomendação é manter a solução atual.</w:t>
      </w:r>
    </w:p>
    <w:p>
      <w:pPr>
        <w:pStyle w:val="Heading1"/>
      </w:pPr>
      <w:r>
        <w:t>1. Banco de dados - BV-BRC / GenBank</w:t>
      </w:r>
    </w:p>
    <w:p>
      <w:pPr>
        <w:spacing w:after="60"/>
      </w:pPr>
      <w:r>
        <w:rPr>
          <w:b/>
        </w:rPr>
        <w:t xml:space="preserve">Recomendação: </w:t>
      </w:r>
      <w:r>
        <w:t>Manter BV-BRC e complementar com NCBI RefSeq e UniProtKB.</w:t>
      </w:r>
    </w:p>
    <w:p>
      <w:pPr>
        <w:spacing w:after="60"/>
      </w:pPr>
      <w:r>
        <w:rPr>
          <w:b/>
        </w:rPr>
        <w:t xml:space="preserve">O que faz: </w:t>
      </w:r>
      <w:r>
        <w:t>BV-BRC reúne dados de patógenos. RefSeq oferece sequências de referência padronizadas. UniProtKB acrescenta informações sobre proteínas, como função e regiões importantes.</w:t>
      </w:r>
    </w:p>
    <w:p>
      <w:pPr>
        <w:spacing w:after="60"/>
      </w:pPr>
      <w:r>
        <w:rPr>
          <w:b/>
        </w:rPr>
        <w:t xml:space="preserve">Por que pode ser melhor: </w:t>
      </w:r>
      <w:r>
        <w:t>As três fontes são complementares. RefSeq pode facilitar a escolha de sequências de referência e UniProt ajuda a confirmar e enriquecer informações sobre as proteínas.</w:t>
      </w:r>
    </w:p>
    <w:p>
      <w:pPr>
        <w:spacing w:after="60"/>
      </w:pPr>
      <w:r>
        <w:rPr>
          <w:b/>
        </w:rPr>
        <w:t xml:space="preserve">Como usar: </w:t>
      </w:r>
      <w:r>
        <w:t>Pesquisar o organismo ou proteína, selecionar os registros desejados e baixar as sequências em FASTA. Para o POA, o FASTA pode continuar sendo usado como entrada.</w:t>
      </w:r>
    </w:p>
    <w:p>
      <w:pPr>
        <w:spacing w:after="60"/>
      </w:pPr>
      <w:r>
        <w:rPr>
          <w:b/>
        </w:rPr>
        <w:t xml:space="preserve">Acesso: </w:t>
      </w:r>
      <w:hyperlink r:id="rId9">
        <w:r>
          <w:rPr>
            <w:color w:val="0563C1"/>
            <w:u w:val="single"/>
          </w:rPr>
          <w:t>BV-BRC</w:t>
        </w:r>
      </w:hyperlink>
      <w:r>
        <w:t xml:space="preserve">  </w:t>
      </w:r>
      <w:hyperlink r:id="rId10">
        <w:r>
          <w:rPr>
            <w:color w:val="0563C1"/>
            <w:u w:val="single"/>
          </w:rPr>
          <w:t>NCBI RefSeq</w:t>
        </w:r>
      </w:hyperlink>
      <w:r>
        <w:t xml:space="preserve">  </w:t>
      </w:r>
      <w:hyperlink r:id="rId11">
        <w:r>
          <w:rPr>
            <w:color w:val="0563C1"/>
            <w:u w:val="single"/>
          </w:rPr>
          <w:t>UniProtKB</w:t>
        </w:r>
      </w:hyperlink>
    </w:p>
    <w:p>
      <w:pPr>
        <w:pStyle w:val="Heading1"/>
      </w:pPr>
      <w:r>
        <w:t>2. Construção de sequência representativa - EMBOSSCons</w:t>
      </w:r>
    </w:p>
    <w:p>
      <w:pPr>
        <w:spacing w:after="60"/>
      </w:pPr>
      <w:r>
        <w:rPr>
          <w:b/>
        </w:rPr>
        <w:t xml:space="preserve">Recomendação: </w:t>
      </w:r>
      <w:r>
        <w:t>Usar MAFFT para o alinhamento e manter a geração de consenso no pipeline (ou EMBOSSCons, se desejado).</w:t>
      </w:r>
    </w:p>
    <w:p>
      <w:pPr>
        <w:spacing w:after="60"/>
      </w:pPr>
      <w:r>
        <w:rPr>
          <w:b/>
        </w:rPr>
        <w:t xml:space="preserve">O que faz: </w:t>
      </w:r>
      <w:r>
        <w:t>MAFFT alinha várias sequências para mostrar quais posições são iguais ou diferentes. Depois desse alinhamento, uma sequência consenso/representativa pode ser criada.</w:t>
      </w:r>
    </w:p>
    <w:p>
      <w:pPr>
        <w:spacing w:after="60"/>
      </w:pPr>
      <w:r>
        <w:rPr>
          <w:b/>
        </w:rPr>
        <w:t xml:space="preserve">Por que pode ser melhor: </w:t>
      </w:r>
      <w:r>
        <w:t>MAFFT é amplamente usado, gratuito e adequado tanto para conjuntos pequenos quanto grandes. Ele não substitui diretamente o EMBOSSCons: melhora a etapa de alinhamento que vem antes do consenso.</w:t>
      </w:r>
    </w:p>
    <w:p>
      <w:pPr>
        <w:spacing w:after="60"/>
      </w:pPr>
      <w:r>
        <w:rPr>
          <w:b/>
        </w:rPr>
        <w:t xml:space="preserve">Como usar: </w:t>
      </w:r>
      <w:r>
        <w:t>Enviar ou fornecer um arquivo FASTA com as sequências ao MAFFT. O alinhamento resultante é usado para gerar a sequência representativa. O POA pode futuramente fazer a etapa de consenso automaticamente.</w:t>
      </w:r>
    </w:p>
    <w:p>
      <w:pPr>
        <w:spacing w:after="60"/>
      </w:pPr>
      <w:r>
        <w:rPr>
          <w:b/>
        </w:rPr>
        <w:t xml:space="preserve">Acesso: </w:t>
      </w:r>
      <w:hyperlink r:id="rId12">
        <w:r>
          <w:rPr>
            <w:color w:val="0563C1"/>
            <w:u w:val="single"/>
          </w:rPr>
          <w:t>MAFFT</w:t>
        </w:r>
      </w:hyperlink>
    </w:p>
    <w:p>
      <w:pPr>
        <w:pStyle w:val="Heading1"/>
      </w:pPr>
      <w:r>
        <w:t>3. Predição de epítopos - BepiPred / NetCTL 1.2 / MHC-II Binding</w:t>
      </w:r>
    </w:p>
    <w:p>
      <w:pPr>
        <w:spacing w:after="60"/>
      </w:pPr>
      <w:r>
        <w:rPr>
          <w:b/>
        </w:rPr>
        <w:t xml:space="preserve">Recomendação: </w:t>
      </w:r>
      <w:r>
        <w:t>Priorizar IEDB Next-Generation Tools. Manter BepiPred 3.0; substituir gradualmente NetCTL 1.2 e o MHC-II antigo pelas ferramentas atuais de T Cell Class I e T Cell Class II do IEDB.</w:t>
      </w:r>
    </w:p>
    <w:p>
      <w:pPr>
        <w:spacing w:after="60"/>
      </w:pPr>
      <w:r>
        <w:rPr>
          <w:b/>
        </w:rPr>
        <w:t xml:space="preserve">O que faz: </w:t>
      </w:r>
      <w:r>
        <w:t>A plataforma reúne predição de epítopos de células B e T. Para células B inclui BepiPred 3.0; para células T oferece ferramentas de MHC classe I e classe II.</w:t>
      </w:r>
    </w:p>
    <w:p>
      <w:pPr>
        <w:spacing w:after="60"/>
      </w:pPr>
      <w:r>
        <w:rPr>
          <w:b/>
        </w:rPr>
        <w:t xml:space="preserve">Por que pode ser melhor: </w:t>
      </w:r>
      <w:r>
        <w:t>Centraliza várias predições em uma plataforma atual, possui interface web mais simples e também oferece API, o que facilita uma futura integração automática com o POA e reduz dependência de páginas antigas.</w:t>
      </w:r>
    </w:p>
    <w:p>
      <w:pPr>
        <w:spacing w:after="60"/>
      </w:pPr>
      <w:r>
        <w:rPr>
          <w:b/>
        </w:rPr>
        <w:t xml:space="preserve">Como usar: </w:t>
      </w:r>
      <w:r>
        <w:t>Abrir a ferramenta correspondente, inserir ou carregar a sequência da proteína, escolher os parâmetros pedidos pela análise e executar a predição. Os resultados podem ser exportados e adaptados para o POA.</w:t>
      </w:r>
    </w:p>
    <w:p>
      <w:pPr>
        <w:spacing w:after="60"/>
      </w:pPr>
      <w:r>
        <w:rPr>
          <w:b/>
        </w:rPr>
        <w:t xml:space="preserve">Acesso: </w:t>
      </w:r>
      <w:hyperlink r:id="rId13">
        <w:r>
          <w:rPr>
            <w:color w:val="0563C1"/>
            <w:u w:val="single"/>
          </w:rPr>
          <w:t>IEDB Next-Generation Tools</w:t>
        </w:r>
      </w:hyperlink>
      <w:r>
        <w:t xml:space="preserve">  </w:t>
      </w:r>
      <w:hyperlink r:id="rId14">
        <w:r>
          <w:rPr>
            <w:color w:val="0563C1"/>
            <w:u w:val="single"/>
          </w:rPr>
          <w:t>IEDB Next-Generation API</w:t>
        </w:r>
      </w:hyperlink>
    </w:p>
    <w:p>
      <w:pPr>
        <w:pStyle w:val="Heading1"/>
      </w:pPr>
      <w:r>
        <w:t>4. Alinhamento da sequência representativa vs. epítopos - MEGA X</w:t>
      </w:r>
    </w:p>
    <w:p>
      <w:pPr>
        <w:spacing w:after="60"/>
      </w:pPr>
      <w:r>
        <w:rPr>
          <w:b/>
        </w:rPr>
        <w:t xml:space="preserve">Recomendação: </w:t>
      </w:r>
      <w:r>
        <w:t>Jalview para inspeção visual; para automação, fazer o posicionamento/alinhamento diretamente no POA com Biopython.</w:t>
      </w:r>
    </w:p>
    <w:p>
      <w:pPr>
        <w:spacing w:after="60"/>
      </w:pPr>
      <w:r>
        <w:rPr>
          <w:b/>
        </w:rPr>
        <w:t xml:space="preserve">O que faz: </w:t>
      </w:r>
      <w:r>
        <w:t>Jalview permite visualizar alinhamentos, conservação e a posição das sequências. Biopython permite que o próprio programa localize ou alinhe os epítopos com a sequência representativa.</w:t>
      </w:r>
    </w:p>
    <w:p>
      <w:pPr>
        <w:spacing w:after="60"/>
      </w:pPr>
      <w:r>
        <w:rPr>
          <w:b/>
        </w:rPr>
        <w:t xml:space="preserve">Por que pode ser melhor: </w:t>
      </w:r>
      <w:r>
        <w:t>Jalview é focado em alinhamentos e é gratuito. Para o POA, a maior melhoria é evitar uma etapa manual: o alinhamento pode ser feito automaticamente e o Jalview fica disponível para conferência visual.</w:t>
      </w:r>
    </w:p>
    <w:p>
      <w:pPr>
        <w:spacing w:after="60"/>
      </w:pPr>
      <w:r>
        <w:rPr>
          <w:b/>
        </w:rPr>
        <w:t xml:space="preserve">Como usar: </w:t>
      </w:r>
      <w:r>
        <w:t>No Jalview, abrir o FASTA/alinhamento e visualizar as sequências. Em uma futura versão do POA, o usuário apenas forneceria as sequências e o posicionamento dos epítopos seria calculado automaticamente.</w:t>
      </w:r>
    </w:p>
    <w:p>
      <w:pPr>
        <w:spacing w:after="60"/>
      </w:pPr>
      <w:r>
        <w:rPr>
          <w:b/>
        </w:rPr>
        <w:t xml:space="preserve">Acesso: </w:t>
      </w:r>
      <w:hyperlink r:id="rId15">
        <w:r>
          <w:rPr>
            <w:color w:val="0563C1"/>
            <w:u w:val="single"/>
          </w:rPr>
          <w:t>Jalview</w:t>
        </w:r>
      </w:hyperlink>
      <w:r>
        <w:t xml:space="preserve">  </w:t>
      </w:r>
      <w:hyperlink r:id="rId16">
        <w:r>
          <w:rPr>
            <w:color w:val="0563C1"/>
            <w:u w:val="single"/>
          </w:rPr>
          <w:t>Biopython</w:t>
        </w:r>
      </w:hyperlink>
    </w:p>
    <w:p>
      <w:pPr>
        <w:pStyle w:val="Heading1"/>
      </w:pPr>
      <w:r>
        <w:t>5. POA1</w:t>
      </w:r>
    </w:p>
    <w:p>
      <w:pPr>
        <w:spacing w:after="60"/>
      </w:pPr>
      <w:r>
        <w:rPr>
          <w:b/>
        </w:rPr>
        <w:t xml:space="preserve">Recomendação: </w:t>
      </w:r>
      <w:r>
        <w:t>Manter POA1.</w:t>
      </w:r>
    </w:p>
    <w:p>
      <w:pPr>
        <w:spacing w:after="60"/>
      </w:pPr>
      <w:r>
        <w:rPr>
          <w:b/>
        </w:rPr>
        <w:t xml:space="preserve">O que faz: </w:t>
      </w:r>
      <w:r>
        <w:t>Reúne e padroniza os resultados das diferentes predições de epítopos e prepara os dados para as próximas etapas.</w:t>
      </w:r>
    </w:p>
    <w:p>
      <w:pPr>
        <w:spacing w:after="60"/>
      </w:pPr>
      <w:r>
        <w:rPr>
          <w:b/>
        </w:rPr>
        <w:t xml:space="preserve">Por que pode ser melhor: </w:t>
      </w:r>
      <w:r>
        <w:t>É uma parte própria do projeto e já foi adaptada para trabalhar com diferentes resultados. Não há benefício claro em substituí-la por outra ferramenta.</w:t>
      </w:r>
    </w:p>
    <w:p>
      <w:pPr>
        <w:spacing w:after="60"/>
      </w:pPr>
      <w:r>
        <w:rPr>
          <w:b/>
        </w:rPr>
        <w:t xml:space="preserve">Como usar: </w:t>
      </w:r>
      <w:r>
        <w:t>Continuar usando pela interface do POA ou pela linha de comando. Novas ferramentas de predição podem ser integradas ao POA1 por meio de novos adaptadores de entrada.</w:t>
      </w:r>
    </w:p>
    <w:p>
      <w:pPr>
        <w:spacing w:after="60"/>
      </w:pPr>
      <w:r>
        <w:rPr>
          <w:b/>
        </w:rPr>
        <w:t xml:space="preserve">Acesso: </w:t>
      </w:r>
    </w:p>
    <w:p>
      <w:pPr>
        <w:pStyle w:val="Heading1"/>
      </w:pPr>
      <w:r>
        <w:t>6. POA2</w:t>
      </w:r>
    </w:p>
    <w:p>
      <w:pPr>
        <w:spacing w:after="60"/>
      </w:pPr>
      <w:r>
        <w:rPr>
          <w:b/>
        </w:rPr>
        <w:t xml:space="preserve">Recomendação: </w:t>
      </w:r>
      <w:r>
        <w:t>Manter POA2.</w:t>
      </w:r>
    </w:p>
    <w:p>
      <w:pPr>
        <w:spacing w:after="60"/>
      </w:pPr>
      <w:r>
        <w:rPr>
          <w:b/>
        </w:rPr>
        <w:t xml:space="preserve">O que faz: </w:t>
      </w:r>
      <w:r>
        <w:t>Filtra os epítopos de acordo com conservação e analisa sua localização em relação à membrana.</w:t>
      </w:r>
    </w:p>
    <w:p>
      <w:pPr>
        <w:spacing w:after="60"/>
      </w:pPr>
      <w:r>
        <w:rPr>
          <w:b/>
        </w:rPr>
        <w:t xml:space="preserve">Por que pode ser melhor: </w:t>
      </w:r>
      <w:r>
        <w:t>É uma etapa específica do POA e já concentra regras importantes do projeto. A melhor estratégia é atualizar componentes ao redor dela, sem substituir o POA2 inteiro.</w:t>
      </w:r>
    </w:p>
    <w:p>
      <w:pPr>
        <w:spacing w:after="60"/>
      </w:pPr>
      <w:r>
        <w:rPr>
          <w:b/>
        </w:rPr>
        <w:t xml:space="preserve">Como usar: </w:t>
      </w:r>
      <w:r>
        <w:t>Continuar usando pela interface do POA. Os resultados das etapas anteriores são fornecidos ao POA2, que gera os arquivos finais de análise.</w:t>
      </w:r>
    </w:p>
    <w:p>
      <w:pPr>
        <w:spacing w:after="60"/>
      </w:pPr>
      <w:r>
        <w:rPr>
          <w:b/>
        </w:rPr>
        <w:t xml:space="preserve">Acesso: </w:t>
      </w:r>
    </w:p>
    <w:p>
      <w:pPr>
        <w:pStyle w:val="Heading1"/>
      </w:pPr>
      <w:r>
        <w:t>7. Visualização - Discovery Studio</w:t>
      </w:r>
    </w:p>
    <w:p>
      <w:pPr>
        <w:spacing w:after="60"/>
      </w:pPr>
      <w:r>
        <w:rPr>
          <w:b/>
        </w:rPr>
        <w:t xml:space="preserve">Recomendação: </w:t>
      </w:r>
      <w:r>
        <w:t>UCSF ChimeraX como alternativa principal. Para visualização diretamente no navegador/POA, considerar Mol*.</w:t>
      </w:r>
    </w:p>
    <w:p>
      <w:pPr>
        <w:spacing w:after="60"/>
      </w:pPr>
      <w:r>
        <w:rPr>
          <w:b/>
        </w:rPr>
        <w:t xml:space="preserve">O que faz: </w:t>
      </w:r>
      <w:r>
        <w:t>ChimeraX permite visualizar estruturas 3D de proteínas, selecionar resíduos, destacar epítopos, mostrar superfícies e realizar diversas análises estruturais. Mol* permite visualização 3D diretamente na web.</w:t>
      </w:r>
    </w:p>
    <w:p>
      <w:pPr>
        <w:spacing w:after="60"/>
      </w:pPr>
      <w:r>
        <w:rPr>
          <w:b/>
        </w:rPr>
        <w:t xml:space="preserve">Por que pode ser melhor: </w:t>
      </w:r>
      <w:r>
        <w:t>ChimeraX é moderno, possui muitos recursos de análise e pode unir visualização e medições estruturais. Mol* é interessante para uma futura visualização integrada à interface do POA.</w:t>
      </w:r>
    </w:p>
    <w:p>
      <w:pPr>
        <w:spacing w:after="60"/>
      </w:pPr>
      <w:r>
        <w:rPr>
          <w:b/>
        </w:rPr>
        <w:t xml:space="preserve">Como usar: </w:t>
      </w:r>
      <w:r>
        <w:t>Abrir uma estrutura PDB/mmCIF no ChimeraX, selecionar os resíduos correspondentes ao epítopo e usar as opções de representação e superfície. Mol* pode ser usado pelo navegador para visualizar estruturas sem um programa desktop.</w:t>
      </w:r>
    </w:p>
    <w:p>
      <w:pPr>
        <w:spacing w:after="60"/>
      </w:pPr>
      <w:r>
        <w:rPr>
          <w:b/>
        </w:rPr>
        <w:t xml:space="preserve">Acesso: </w:t>
      </w:r>
      <w:hyperlink r:id="rId17">
        <w:r>
          <w:rPr>
            <w:color w:val="0563C1"/>
            <w:u w:val="single"/>
          </w:rPr>
          <w:t>UCSF ChimeraX</w:t>
        </w:r>
      </w:hyperlink>
      <w:r>
        <w:t xml:space="preserve">  </w:t>
      </w:r>
      <w:hyperlink r:id="rId18">
        <w:r>
          <w:rPr>
            <w:color w:val="0563C1"/>
            <w:u w:val="single"/>
          </w:rPr>
          <w:t>Mol*</w:t>
        </w:r>
      </w:hyperlink>
    </w:p>
    <w:p>
      <w:pPr>
        <w:pStyle w:val="Heading1"/>
      </w:pPr>
      <w:r>
        <w:t>8. Cálculo de área exposta do epítopo ou proteína - PLIP / PyMOL</w:t>
      </w:r>
    </w:p>
    <w:p>
      <w:pPr>
        <w:spacing w:after="60"/>
      </w:pPr>
      <w:r>
        <w:rPr>
          <w:b/>
        </w:rPr>
        <w:t xml:space="preserve">Recomendação: </w:t>
      </w:r>
      <w:r>
        <w:t>FreeSASA para o cálculo automático; ChimeraX para visualizar e conferir o resultado.</w:t>
      </w:r>
    </w:p>
    <w:p>
      <w:pPr>
        <w:spacing w:after="60"/>
      </w:pPr>
      <w:r>
        <w:rPr>
          <w:b/>
        </w:rPr>
        <w:t xml:space="preserve">O que faz: </w:t>
      </w:r>
      <w:r>
        <w:t>FreeSASA calcula a área de uma proteína ou de seus resíduos que está acessível ao solvente (SASA), permitindo estimar quanto de um epítopo está exposto na estrutura.</w:t>
      </w:r>
    </w:p>
    <w:p>
      <w:pPr>
        <w:spacing w:after="60"/>
      </w:pPr>
      <w:r>
        <w:rPr>
          <w:b/>
        </w:rPr>
        <w:t xml:space="preserve">Por que pode ser melhor: </w:t>
      </w:r>
      <w:r>
        <w:t>É gratuito, específico para esse tipo de cálculo e pode ser integrado ao POA. Isso permite transformar uma análise manual em um valor calculado automaticamente para cada epítopo. PLIP é mais voltado à análise de interações proteína-ligante, portanto não é a primeira escolha quando o objetivo principal é área exposta.</w:t>
      </w:r>
    </w:p>
    <w:p>
      <w:pPr>
        <w:spacing w:after="60"/>
      </w:pPr>
      <w:r>
        <w:rPr>
          <w:b/>
        </w:rPr>
        <w:t xml:space="preserve">Como usar: </w:t>
      </w:r>
      <w:r>
        <w:t>Fornecer uma estrutura da proteína em formato PDB ao FreeSASA. O programa calcula a área total e pode fornecer valores por resíduo. O POA pode usar os resíduos pertencentes ao epítopo para calcular sua exposição.</w:t>
      </w:r>
    </w:p>
    <w:p>
      <w:pPr>
        <w:spacing w:after="60"/>
      </w:pPr>
      <w:r>
        <w:rPr>
          <w:b/>
        </w:rPr>
        <w:t xml:space="preserve">Acesso: </w:t>
      </w:r>
      <w:hyperlink r:id="rId19">
        <w:r>
          <w:rPr>
            <w:color w:val="0563C1"/>
            <w:u w:val="single"/>
          </w:rPr>
          <w:t>FreeSASA</w:t>
        </w:r>
      </w:hyperlink>
      <w:r>
        <w:t xml:space="preserve">  </w:t>
      </w:r>
      <w:hyperlink r:id="rId17">
        <w:r>
          <w:rPr>
            <w:color w:val="0563C1"/>
            <w:u w:val="single"/>
          </w:rPr>
          <w:t>UCSF ChimeraX</w:t>
        </w:r>
      </w:hyperlink>
    </w:p>
    <w:p>
      <w:pPr>
        <w:pStyle w:val="Heading1"/>
      </w:pPr>
      <w:r>
        <w:t>Resumo das mudanças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Etapa</w:t>
            </w:r>
          </w:p>
        </w:tc>
        <w:tc>
          <w:tcPr>
            <w:tcW w:type="dxa" w:w="3312"/>
          </w:tcPr>
          <w:p>
            <w:r>
              <w:t>Atual</w:t>
            </w:r>
          </w:p>
        </w:tc>
        <w:tc>
          <w:tcPr>
            <w:tcW w:type="dxa" w:w="3312"/>
          </w:tcPr>
          <w:p>
            <w:r>
              <w:t>Sugestão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BV-BRC / GenBank</w:t>
            </w:r>
          </w:p>
        </w:tc>
        <w:tc>
          <w:tcPr>
            <w:tcW w:type="dxa" w:w="3312"/>
          </w:tcPr>
          <w:p>
            <w:r>
              <w:t>Manter BV-BRC + RefSeq + UniProtKB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EMBOSSCons</w:t>
            </w:r>
          </w:p>
        </w:tc>
        <w:tc>
          <w:tcPr>
            <w:tcW w:type="dxa" w:w="3312"/>
          </w:tcPr>
          <w:p>
            <w:r>
              <w:t>MAFFT + consenso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BepiPred / NetCTL / MHC-II</w:t>
            </w:r>
          </w:p>
        </w:tc>
        <w:tc>
          <w:tcPr>
            <w:tcW w:type="dxa" w:w="3312"/>
          </w:tcPr>
          <w:p>
            <w:r>
              <w:t>IEDB Next-Generation Tools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MEGA X</w:t>
            </w:r>
          </w:p>
        </w:tc>
        <w:tc>
          <w:tcPr>
            <w:tcW w:type="dxa" w:w="3312"/>
          </w:tcPr>
          <w:p>
            <w:r>
              <w:t>Jalview + automação no POA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POA1</w:t>
            </w:r>
          </w:p>
        </w:tc>
        <w:tc>
          <w:tcPr>
            <w:tcW w:type="dxa" w:w="3312"/>
          </w:tcPr>
          <w:p>
            <w:r>
              <w:t>Manter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POA2</w:t>
            </w:r>
          </w:p>
        </w:tc>
        <w:tc>
          <w:tcPr>
            <w:tcW w:type="dxa" w:w="3312"/>
          </w:tcPr>
          <w:p>
            <w:r>
              <w:t>Manter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Discovery Studio</w:t>
            </w:r>
          </w:p>
        </w:tc>
        <w:tc>
          <w:tcPr>
            <w:tcW w:type="dxa" w:w="3312"/>
          </w:tcPr>
          <w:p>
            <w:r>
              <w:t>ChimeraX / Mol*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PLIP / PyMOL</w:t>
            </w:r>
          </w:p>
        </w:tc>
        <w:tc>
          <w:tcPr>
            <w:tcW w:type="dxa" w:w="3312"/>
          </w:tcPr>
          <w:p>
            <w:r>
              <w:t>FreeSASA + ChimeraX</w:t>
            </w:r>
          </w:p>
        </w:tc>
      </w:tr>
    </w:tbl>
    <w:p/>
    <w:p>
      <w:r>
        <w:rPr>
          <w:b/>
        </w:rPr>
        <w:t xml:space="preserve">Observação: </w:t>
      </w:r>
      <w:r>
        <w:t>as alternativas foram escolhidas pensando não apenas em serem mais novas, mas em facilitar o uso, manter acesso gratuito e permitir maior automação do POA.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v-brc.org/" TargetMode="External"/><Relationship Id="rId10" Type="http://schemas.openxmlformats.org/officeDocument/2006/relationships/hyperlink" Target="https://www.ncbi.nlm.nih.gov/refseq/" TargetMode="External"/><Relationship Id="rId11" Type="http://schemas.openxmlformats.org/officeDocument/2006/relationships/hyperlink" Target="https://www.uniprot.org/" TargetMode="External"/><Relationship Id="rId12" Type="http://schemas.openxmlformats.org/officeDocument/2006/relationships/hyperlink" Target="https://mafft.cbrc.jp/alignment/server/" TargetMode="External"/><Relationship Id="rId13" Type="http://schemas.openxmlformats.org/officeDocument/2006/relationships/hyperlink" Target="https://nextgen-tools.iedb.org/" TargetMode="External"/><Relationship Id="rId14" Type="http://schemas.openxmlformats.org/officeDocument/2006/relationships/hyperlink" Target="https://api-nextgen-tools.iedb.org/apidocs" TargetMode="External"/><Relationship Id="rId15" Type="http://schemas.openxmlformats.org/officeDocument/2006/relationships/hyperlink" Target="https://www.jalview.org/" TargetMode="External"/><Relationship Id="rId16" Type="http://schemas.openxmlformats.org/officeDocument/2006/relationships/hyperlink" Target="https://biopython.org/" TargetMode="External"/><Relationship Id="rId17" Type="http://schemas.openxmlformats.org/officeDocument/2006/relationships/hyperlink" Target="https://www.cgl.ucsf.edu/chimerax/" TargetMode="External"/><Relationship Id="rId18" Type="http://schemas.openxmlformats.org/officeDocument/2006/relationships/hyperlink" Target="https://molstar.org/" TargetMode="External"/><Relationship Id="rId19" Type="http://schemas.openxmlformats.org/officeDocument/2006/relationships/hyperlink" Target="https://freesasa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