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aps/>
          <w:color w:val="1E6F69"/>
          <w:sz w:val="17"/>
        </w:rPr>
        <w:t>RESEARCH BRIEF</w:t>
      </w:r>
    </w:p>
    <w:p>
      <w:pPr>
        <w:spacing w:before="0" w:after="40"/>
      </w:pPr>
      <w:r>
        <w:rPr>
          <w:rFonts w:ascii="Cambria" w:hAnsi="Cambria"/>
          <w:b/>
          <w:color w:val="14211F"/>
          <w:sz w:val="60"/>
        </w:rPr>
        <w:t>Simul8</w:t>
      </w:r>
    </w:p>
    <w:p>
      <w:pPr>
        <w:spacing w:after="160"/>
      </w:pPr>
      <w:r>
        <w:rPr>
          <w:rFonts w:ascii="Cambria" w:hAnsi="Cambria"/>
          <w:i/>
          <w:color w:val="4C5B57"/>
          <w:sz w:val="26"/>
        </w:rPr>
        <w:t>A reproducible simulation substrate for distributed multi-agent systems research</w:t>
      </w:r>
    </w:p>
    <w:p>
      <w:pPr>
        <w:spacing w:after="0"/>
      </w:pPr>
      <w:r>
        <w:rPr>
          <w:rFonts w:ascii="Consolas" w:hAnsi="Consolas"/>
          <w:color w:val="7C8B87"/>
          <w:sz w:val="18"/>
        </w:rPr>
        <w:t xml:space="preserve">PREPARED BY  </w:t>
      </w:r>
      <w:r>
        <w:rPr>
          <w:rFonts w:ascii="Consolas" w:hAnsi="Consolas"/>
          <w:b/>
          <w:color w:val="4C5B57"/>
          <w:sz w:val="18"/>
        </w:rPr>
        <w:t>Agnivesh Kumar</w:t>
      </w:r>
      <w:r>
        <w:rPr>
          <w:sz w:val="18"/>
        </w:rPr>
        <w:t xml:space="preserve">    </w:t>
      </w:r>
      <w:r>
        <w:rPr>
          <w:rFonts w:ascii="Consolas" w:hAnsi="Consolas"/>
          <w:color w:val="7C8B87"/>
          <w:sz w:val="18"/>
        </w:rPr>
        <w:t xml:space="preserve">DATE  </w:t>
      </w:r>
      <w:r>
        <w:rPr>
          <w:rFonts w:ascii="Consolas" w:hAnsi="Consolas"/>
          <w:b/>
          <w:color w:val="4C5B57"/>
          <w:sz w:val="18"/>
        </w:rPr>
        <w:t>16 September 2026</w:t>
      </w:r>
      <w:r>
        <w:rPr>
          <w:sz w:val="18"/>
        </w:rPr>
        <w:t xml:space="preserve">    </w:t>
      </w:r>
      <w:r>
        <w:rPr>
          <w:rFonts w:ascii="Consolas" w:hAnsi="Consolas"/>
          <w:color w:val="7C8B87"/>
          <w:sz w:val="18"/>
        </w:rPr>
        <w:t xml:space="preserve">PURPOSE  </w:t>
      </w:r>
      <w:r>
        <w:rPr>
          <w:rFonts w:ascii="Consolas" w:hAnsi="Consolas"/>
          <w:b/>
          <w:color w:val="4C5B57"/>
          <w:sz w:val="18"/>
        </w:rPr>
        <w:t>Direction review — publish, extend, or patent</w:t>
      </w:r>
    </w:p>
    <w:p>
      <w:pPr>
        <w:spacing w:before="160" w:after="240"/>
        <w:pBdr>
          <w:bottom w:val="single" w:sz="6" w:space="1" w:color="DCE4E2"/>
        </w:pBdr>
      </w:pPr>
    </w:p>
    <w:p>
      <w:pPr>
        <w:keepNext/>
        <w:spacing w:before="280" w:after="120"/>
      </w:pPr>
      <w:r>
        <w:rPr>
          <w:rFonts w:ascii="Cambria" w:hAnsi="Cambria"/>
          <w:b/>
          <w:color w:val="14211F"/>
          <w:sz w:val="29"/>
        </w:rPr>
        <w:t>01 — What I built</w:t>
      </w:r>
    </w:p>
    <w:p>
      <w:pPr>
        <w:spacing w:after="120"/>
      </w:pPr>
      <w:r>
        <w:rPr>
          <w:color w:val="14211F"/>
          <w:sz w:val="21"/>
        </w:rPr>
        <w:t>Simul8 is a discrete-event simulation engine for distributed and multi-agent systems, built around one rule: the core never knows what it's simulating. The scheduler, event queue, and virtual clock have zero awareness of agent behavior, network shape, or message format — every algorithm, topology, protocol, and metric is a swappable plugin behind a fixed set of ports.</w:t>
      </w:r>
    </w:p>
    <w:p>
      <w:pPr>
        <w:spacing w:after="120"/>
      </w:pPr>
      <w:r>
        <w:rPr>
          <w:color w:val="14211F"/>
          <w:sz w:val="21"/>
        </w:rPr>
        <w:t>What started as a bare scheduler is now a working platform: three agent behaviors, three communication models, five topology generators, five metric collectors, and a CSV export/visualization pipeline — all driven entirely by YAML experiment files, with 71 automated tests currently green.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14211F"/>
                <w:sz w:val="32"/>
              </w:rPr>
              <w:t>17</w:t>
            </w:r>
          </w:p>
        </w:tc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14211F"/>
                <w:sz w:val="32"/>
              </w:rPr>
              <w:t>71</w:t>
            </w:r>
          </w:p>
        </w:tc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14211F"/>
                <w:sz w:val="32"/>
              </w:rPr>
              <w:t>~1.8k</w:t>
            </w:r>
          </w:p>
        </w:tc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14211F"/>
                <w:sz w:val="32"/>
              </w:rPr>
              <w:t>1,000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color w:val="7C8B87"/>
                <w:sz w:val="15"/>
              </w:rPr>
              <w:t>PLUGINS</w:t>
            </w:r>
          </w:p>
        </w:tc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color w:val="7C8B87"/>
                <w:sz w:val="15"/>
              </w:rPr>
              <w:t>TESTS PASSING</w:t>
            </w:r>
          </w:p>
        </w:tc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color w:val="7C8B87"/>
                <w:sz w:val="15"/>
              </w:rPr>
              <w:t>CORE LOC</w:t>
            </w:r>
          </w:p>
        </w:tc>
        <w:tc>
          <w:tcPr>
            <w:tcW w:type="dxa" w:w="2412"/>
            <w:shd w:val="clear" w:color="auto" w:fill="FFFFFF"/>
            <w:tcBorders>
              <w:top w:val="single" w:sz="4" w:color="DCE4E2"/>
              <w:left w:val="single" w:sz="4" w:color="DCE4E2"/>
              <w:bottom w:val="single" w:sz="4" w:color="DCE4E2"/>
              <w:right w:val="single" w:sz="4" w:color="DCE4E2"/>
            </w:tcBorders>
          </w:tcPr>
          <w:p>
            <w:pPr>
              <w:jc w:val="center"/>
            </w:pPr>
            <w:r>
              <w:rPr>
                <w:rFonts w:ascii="Consolas" w:hAnsi="Consolas"/>
                <w:color w:val="7C8B87"/>
                <w:sz w:val="15"/>
              </w:rPr>
              <w:t>AGENTS VALIDATED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mbria" w:hAnsi="Cambria"/>
          <w:b/>
          <w:color w:val="14211F"/>
          <w:sz w:val="29"/>
        </w:rPr>
        <w:t>02 — Why the architecture matters</w:t>
      </w:r>
    </w:p>
    <w:p>
      <w:pPr>
        <w:pStyle w:val="ListBullet"/>
        <w:spacing w:after="140"/>
        <w:ind w:left="288"/>
      </w:pPr>
      <w:r>
        <w:rPr>
          <w:b/>
          <w:color w:val="14211F"/>
          <w:sz w:val="21"/>
        </w:rPr>
        <w:t xml:space="preserve">Reproducibility is structural, not bolted on. </w:t>
      </w:r>
      <w:r>
        <w:rPr>
          <w:color w:val="4C5B57"/>
          <w:sz w:val="21"/>
        </w:rPr>
        <w:t>Every agent's randomness is seeded as seed XOR agent_id, so a run is bit-for-bit identical regardless of concurrency, machine, or scale — most research code adds this as an afterthought; here it's load-bearing from the first commit.</w:t>
      </w:r>
    </w:p>
    <w:p>
      <w:pPr>
        <w:pStyle w:val="ListBullet"/>
        <w:spacing w:after="140"/>
        <w:ind w:left="288"/>
      </w:pPr>
      <w:r>
        <w:rPr>
          <w:b/>
          <w:color w:val="14211F"/>
          <w:sz w:val="21"/>
        </w:rPr>
        <w:t xml:space="preserve">A bad idea can't break the core. </w:t>
      </w:r>
      <w:r>
        <w:rPr>
          <w:color w:val="4C5B57"/>
          <w:sz w:val="21"/>
        </w:rPr>
        <w:t>Behaviors, topologies, and protocols are adapters behind ports (hexagonal architecture). A new consensus algorithm or epidemic model ships as a plugin — never a patch to the tested scheduler.</w:t>
      </w:r>
    </w:p>
    <w:p>
      <w:pPr>
        <w:pStyle w:val="ListBullet"/>
        <w:spacing w:after="140"/>
        <w:ind w:left="288"/>
      </w:pPr>
      <w:r>
        <w:rPr>
          <w:b/>
          <w:color w:val="14211F"/>
          <w:sz w:val="21"/>
        </w:rPr>
        <w:t xml:space="preserve">Every experiment is a file, not a script. </w:t>
      </w:r>
      <w:r>
        <w:rPr>
          <w:color w:val="4C5B57"/>
          <w:sz w:val="21"/>
        </w:rPr>
        <w:t>A YAML config fully specifies seed, topology, behavior, and metrics. Experiments are diffable, versionable, and rerunnable by anyone — usually the actual weak point in a distributed-systems paper's reproducibility section.</w:t>
      </w:r>
    </w:p>
    <w:p>
      <w:pPr>
        <w:pStyle w:val="ListBullet"/>
        <w:spacing w:after="140"/>
        <w:ind w:left="288"/>
      </w:pPr>
      <w:r>
        <w:rPr>
          <w:b/>
          <w:color w:val="14211F"/>
          <w:sz w:val="21"/>
        </w:rPr>
        <w:t xml:space="preserve">It already generalizes across domains. </w:t>
      </w:r>
      <w:r>
        <w:rPr>
          <w:color w:val="4C5B57"/>
          <w:sz w:val="21"/>
        </w:rPr>
        <w:t>The same engine currently runs epidemic modeling, distributed consensus, and gossip protocols without touching the core — the strongest evidence the port boundaries are drawn in the right place.</w:t>
      </w:r>
    </w:p>
    <w:p>
      <w:pPr>
        <w:keepNext/>
        <w:spacing w:before="280" w:after="120"/>
      </w:pPr>
      <w:r>
        <w:rPr>
          <w:rFonts w:ascii="Cambria" w:hAnsi="Cambria"/>
          <w:b/>
          <w:color w:val="14211F"/>
          <w:sz w:val="29"/>
        </w:rPr>
        <w:t>03 — Research directions this opens</w:t>
      </w:r>
    </w:p>
    <w:p>
      <w:pPr>
        <w:spacing w:after="120"/>
      </w:pPr>
      <w:r>
        <w:rPr>
          <w:color w:val="14211F"/>
          <w:sz w:val="21"/>
        </w:rPr>
        <w:t>Each of these is a config change against existing plugins, not new engineering — that's the point of the architecture.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165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Consolas" w:hAnsi="Consolas"/>
                <w:b/>
                <w:color w:val="1E6F69"/>
                <w:sz w:val="18"/>
              </w:rPr>
              <w:t>TOPOLOGY →</w:t>
              <w:br/>
              <w:t>CONVERGENCE</w:t>
            </w:r>
          </w:p>
        </w:tc>
        <w:tc>
          <w:tcPr>
            <w:tcW w:type="dxa" w:w="74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color w:val="14211F"/>
                <w:sz w:val="21"/>
              </w:rPr>
              <w:t>Gossip convergence time and variance across Erdős–Rényi, Watts–Strogatz, and Barabási–Albert graphs at matched edge density — a clean parameter sweep the platform already runs end-to-end.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165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Consolas" w:hAnsi="Consolas"/>
                <w:b/>
                <w:color w:val="1E6F69"/>
                <w:sz w:val="18"/>
              </w:rPr>
              <w:t>FAILURE →</w:t>
              <w:br/>
              <w:t>CONSENSUS</w:t>
            </w:r>
          </w:p>
        </w:tc>
        <w:tc>
          <w:tcPr>
            <w:tcW w:type="dxa" w:w="74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color w:val="14211F"/>
                <w:sz w:val="21"/>
              </w:rPr>
              <w:t>Leader-election robustness as message loss increases, using the lossy-channel plugin already paired with the election behavior.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165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Consolas" w:hAnsi="Consolas"/>
                <w:b/>
                <w:color w:val="1E6F69"/>
                <w:sz w:val="18"/>
              </w:rPr>
              <w:t>STRUCTURE →</w:t>
              <w:br/>
              <w:t>SPREAD</w:t>
            </w:r>
          </w:p>
        </w:tc>
        <w:tc>
          <w:tcPr>
            <w:tcW w:type="dxa" w:w="74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color w:val="14211F"/>
                <w:sz w:val="21"/>
              </w:rPr>
              <w:t>SIR outbreak size as a function of network structure — grid vs. scale-free — connecting network science and epidemiology on one shared engine.</w:t>
            </w:r>
          </w:p>
        </w:tc>
      </w:tr>
    </w:tbl>
    <w:p>
      <w:pPr>
        <w:keepNext/>
        <w:spacing w:before="280" w:after="120"/>
      </w:pPr>
      <w:r>
        <w:rPr>
          <w:rFonts w:ascii="Cambria" w:hAnsi="Cambria"/>
          <w:b/>
          <w:color w:val="14211F"/>
          <w:sz w:val="29"/>
        </w:rPr>
        <w:t>04 — Paper, or patent?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144"/>
            <w:shd w:val="clear" w:color="auto" w:fill="E3EFEC"/>
            <w:tcBorders>
              <w:top w:val="single" w:sz="4" w:color="E3EFEC"/>
              <w:left w:val="single" w:sz="4" w:color="E3EFEC"/>
              <w:bottom w:val="single" w:sz="4" w:color="E3EFEC"/>
              <w:right w:val="single" w:sz="4" w:color="E3EFEC"/>
            </w:tcBorders>
          </w:tcPr>
          <w:p>
            <w:pPr>
              <w:spacing w:before="80" w:after="80"/>
            </w:pPr>
            <w:r>
              <w:rPr>
                <w:b/>
                <w:color w:val="14211F"/>
                <w:sz w:val="21"/>
              </w:rPr>
              <w:t xml:space="preserve">Recommendation: publish, don't patent. </w:t>
            </w:r>
            <w:r>
              <w:rPr>
                <w:color w:val="14211F"/>
                <w:sz w:val="21"/>
              </w:rPr>
              <w:t>Ports-and-adapters plus deterministic per-agent seeding is sound engineering, but neither pattern is novel enough to hold up as a claim — software architecture patents are narrow, slow, and rarely worth a student's time against the cost of publishing instead.</w:t>
            </w:r>
          </w:p>
          <w:p>
            <w:pPr>
              <w:spacing w:before="80" w:after="80"/>
            </w:pPr>
            <w:r>
              <w:rPr>
                <w:color w:val="14211F"/>
                <w:sz w:val="21"/>
              </w:rPr>
              <w:t>The stronger path is a short systems/tools paper on Simul8 itself, plus an open-source release, followed by one or two results papers that use it as the substrate for the studies above. A patent is worth raising with the tech-transfer office only if one of those studies produces a genuinely novel algorithm — not the simulator that ran it.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Cambria" w:hAnsi="Cambria"/>
          <w:b/>
          <w:color w:val="14211F"/>
          <w:sz w:val="29"/>
        </w:rPr>
        <w:t>05 — Proposed next steps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165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Consolas" w:hAnsi="Consolas"/>
                <w:b/>
                <w:color w:val="7C8B87"/>
                <w:sz w:val="18"/>
              </w:rPr>
              <w:t>SHORT-TERM</w:t>
            </w:r>
          </w:p>
        </w:tc>
        <w:tc>
          <w:tcPr>
            <w:tcW w:type="dxa" w:w="74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color w:val="14211F"/>
                <w:sz w:val="21"/>
              </w:rPr>
              <w:t>Validate the newly merged plugins end-to-end; bring leader-election and SIR up to the same regression-test coverage gossip already has.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165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Consolas" w:hAnsi="Consolas"/>
                <w:b/>
                <w:color w:val="7C8B87"/>
                <w:sz w:val="18"/>
              </w:rPr>
              <w:t>MEDIUM-TERM</w:t>
            </w:r>
          </w:p>
        </w:tc>
        <w:tc>
          <w:tcPr>
            <w:tcW w:type="dxa" w:w="74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color w:val="14211F"/>
                <w:sz w:val="21"/>
              </w:rPr>
              <w:t>Pick one research direction above, run it to a result, and draft the systems paper describing Simul8 alongside it.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165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Consolas" w:hAnsi="Consolas"/>
                <w:b/>
                <w:color w:val="7C8B87"/>
                <w:sz w:val="18"/>
              </w:rPr>
              <w:t>LONG-TERM</w:t>
            </w:r>
          </w:p>
        </w:tc>
        <w:tc>
          <w:tcPr>
            <w:tcW w:type="dxa" w:w="74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color w:val="14211F"/>
                <w:sz w:val="21"/>
              </w:rPr>
              <w:t>Open-source release; evaluate a Rust port of the core engine if results push toward larger-scale simulation.</w:t>
            </w:r>
          </w:p>
        </w:tc>
      </w:tr>
    </w:tbl>
    <w:p>
      <w:pPr>
        <w:spacing w:before="280" w:after="80"/>
        <w:pBdr>
          <w:bottom w:val="single" w:sz="6" w:space="1" w:color="DCE4E2"/>
        </w:pBdr>
      </w:pPr>
    </w:p>
    <w:p>
      <w:r>
        <w:rPr>
          <w:rFonts w:ascii="Consolas" w:hAnsi="Consolas"/>
          <w:color w:val="7C8B87"/>
          <w:sz w:val="16"/>
        </w:rPr>
        <w:t>Simul8 — research brief</w:t>
      </w:r>
      <w:r>
        <w:rPr>
          <w:rFonts w:ascii="Consolas" w:hAnsi="Consolas"/>
          <w:color w:val="7C8B87"/>
          <w:sz w:val="16"/>
        </w:rPr>
        <w:t xml:space="preserve">     Architecture &amp; developer docs in repository: architecture.md, docs/extended_documentation.md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Calibri" w:hAnsi="Calibri"/>
      <w:color w:val="142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