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lang w:val="en-GB"/>
          <w14:ligatures w14:val="standardContextual"/>
        </w:rPr>
        <w:id w:val="-1005983511"/>
        <w:docPartObj>
          <w:docPartGallery w:val="Table of Contents"/>
          <w:docPartUnique/>
        </w:docPartObj>
      </w:sdtPr>
      <w:sdtEndPr>
        <w:rPr>
          <w:noProof/>
        </w:rPr>
      </w:sdtEndPr>
      <w:sdtContent>
        <w:p w14:paraId="6672C764" w14:textId="4D1CB97E" w:rsidR="00474997" w:rsidRDefault="00474997">
          <w:pPr>
            <w:pStyle w:val="TOCHeading"/>
          </w:pPr>
          <w:r>
            <w:t>Table of Contents</w:t>
          </w:r>
        </w:p>
        <w:p w14:paraId="5B913D33" w14:textId="59D1A2EA" w:rsidR="00474997" w:rsidRDefault="00474997">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1077731" w:history="1">
            <w:r w:rsidRPr="00234AE9">
              <w:rPr>
                <w:rStyle w:val="Hyperlink"/>
                <w:rFonts w:eastAsia="Times New Roman"/>
                <w:noProof/>
                <w:lang w:eastAsia="en-GB"/>
              </w:rPr>
              <w:t>Individual Reflective Piece</w:t>
            </w:r>
            <w:r>
              <w:rPr>
                <w:noProof/>
                <w:webHidden/>
              </w:rPr>
              <w:tab/>
            </w:r>
            <w:r>
              <w:rPr>
                <w:noProof/>
                <w:webHidden/>
              </w:rPr>
              <w:fldChar w:fldCharType="begin"/>
            </w:r>
            <w:r>
              <w:rPr>
                <w:noProof/>
                <w:webHidden/>
              </w:rPr>
              <w:instrText xml:space="preserve"> PAGEREF _Toc161077731 \h </w:instrText>
            </w:r>
            <w:r>
              <w:rPr>
                <w:noProof/>
                <w:webHidden/>
              </w:rPr>
            </w:r>
            <w:r>
              <w:rPr>
                <w:noProof/>
                <w:webHidden/>
              </w:rPr>
              <w:fldChar w:fldCharType="separate"/>
            </w:r>
            <w:r w:rsidR="007F4B54">
              <w:rPr>
                <w:noProof/>
                <w:webHidden/>
              </w:rPr>
              <w:t>2</w:t>
            </w:r>
            <w:r>
              <w:rPr>
                <w:noProof/>
                <w:webHidden/>
              </w:rPr>
              <w:fldChar w:fldCharType="end"/>
            </w:r>
          </w:hyperlink>
        </w:p>
        <w:p w14:paraId="6DE5BE24" w14:textId="444AFF2A" w:rsidR="00474997" w:rsidRDefault="00000000">
          <w:pPr>
            <w:pStyle w:val="TOC1"/>
            <w:tabs>
              <w:tab w:val="right" w:leader="dot" w:pos="9016"/>
            </w:tabs>
            <w:rPr>
              <w:noProof/>
            </w:rPr>
          </w:pPr>
          <w:hyperlink w:anchor="_Toc161077732" w:history="1">
            <w:r w:rsidR="00474997" w:rsidRPr="00234AE9">
              <w:rPr>
                <w:rStyle w:val="Hyperlink"/>
                <w:noProof/>
              </w:rPr>
              <w:t>Project Outcomes and Knowledge Gained</w:t>
            </w:r>
            <w:r w:rsidR="00474997">
              <w:rPr>
                <w:noProof/>
                <w:webHidden/>
              </w:rPr>
              <w:tab/>
            </w:r>
            <w:r w:rsidR="00474997">
              <w:rPr>
                <w:noProof/>
                <w:webHidden/>
              </w:rPr>
              <w:fldChar w:fldCharType="begin"/>
            </w:r>
            <w:r w:rsidR="00474997">
              <w:rPr>
                <w:noProof/>
                <w:webHidden/>
              </w:rPr>
              <w:instrText xml:space="preserve"> PAGEREF _Toc161077732 \h </w:instrText>
            </w:r>
            <w:r w:rsidR="00474997">
              <w:rPr>
                <w:noProof/>
                <w:webHidden/>
              </w:rPr>
            </w:r>
            <w:r w:rsidR="00474997">
              <w:rPr>
                <w:noProof/>
                <w:webHidden/>
              </w:rPr>
              <w:fldChar w:fldCharType="separate"/>
            </w:r>
            <w:r w:rsidR="007F4B54">
              <w:rPr>
                <w:noProof/>
                <w:webHidden/>
              </w:rPr>
              <w:t>2</w:t>
            </w:r>
            <w:r w:rsidR="00474997">
              <w:rPr>
                <w:noProof/>
                <w:webHidden/>
              </w:rPr>
              <w:fldChar w:fldCharType="end"/>
            </w:r>
          </w:hyperlink>
        </w:p>
        <w:p w14:paraId="21BC6B82" w14:textId="03DC78F6" w:rsidR="00474997" w:rsidRDefault="00000000">
          <w:pPr>
            <w:pStyle w:val="TOC1"/>
            <w:tabs>
              <w:tab w:val="right" w:leader="dot" w:pos="9016"/>
            </w:tabs>
            <w:rPr>
              <w:noProof/>
            </w:rPr>
          </w:pPr>
          <w:hyperlink w:anchor="_Toc161077733" w:history="1">
            <w:r w:rsidR="00474997" w:rsidRPr="00234AE9">
              <w:rPr>
                <w:rStyle w:val="Hyperlink"/>
                <w:noProof/>
              </w:rPr>
              <w:t>Independent Working and Collaboration</w:t>
            </w:r>
            <w:r w:rsidR="00474997">
              <w:rPr>
                <w:noProof/>
                <w:webHidden/>
              </w:rPr>
              <w:tab/>
            </w:r>
            <w:r w:rsidR="00474997">
              <w:rPr>
                <w:noProof/>
                <w:webHidden/>
              </w:rPr>
              <w:fldChar w:fldCharType="begin"/>
            </w:r>
            <w:r w:rsidR="00474997">
              <w:rPr>
                <w:noProof/>
                <w:webHidden/>
              </w:rPr>
              <w:instrText xml:space="preserve"> PAGEREF _Toc161077733 \h </w:instrText>
            </w:r>
            <w:r w:rsidR="00474997">
              <w:rPr>
                <w:noProof/>
                <w:webHidden/>
              </w:rPr>
            </w:r>
            <w:r w:rsidR="00474997">
              <w:rPr>
                <w:noProof/>
                <w:webHidden/>
              </w:rPr>
              <w:fldChar w:fldCharType="separate"/>
            </w:r>
            <w:r w:rsidR="007F4B54">
              <w:rPr>
                <w:noProof/>
                <w:webHidden/>
              </w:rPr>
              <w:t>3</w:t>
            </w:r>
            <w:r w:rsidR="00474997">
              <w:rPr>
                <w:noProof/>
                <w:webHidden/>
              </w:rPr>
              <w:fldChar w:fldCharType="end"/>
            </w:r>
          </w:hyperlink>
        </w:p>
        <w:p w14:paraId="54751A97" w14:textId="2ABCA99A" w:rsidR="00474997" w:rsidRDefault="00000000">
          <w:pPr>
            <w:pStyle w:val="TOC1"/>
            <w:tabs>
              <w:tab w:val="right" w:leader="dot" w:pos="9016"/>
            </w:tabs>
            <w:rPr>
              <w:noProof/>
            </w:rPr>
          </w:pPr>
          <w:hyperlink w:anchor="_Toc161077734" w:history="1">
            <w:r w:rsidR="00474997" w:rsidRPr="00234AE9">
              <w:rPr>
                <w:rStyle w:val="Hyperlink"/>
                <w:noProof/>
              </w:rPr>
              <w:t>Emotional Engagement and Application of Knowledge</w:t>
            </w:r>
            <w:r w:rsidR="00474997">
              <w:rPr>
                <w:noProof/>
                <w:webHidden/>
              </w:rPr>
              <w:tab/>
            </w:r>
            <w:r w:rsidR="00474997">
              <w:rPr>
                <w:noProof/>
                <w:webHidden/>
              </w:rPr>
              <w:fldChar w:fldCharType="begin"/>
            </w:r>
            <w:r w:rsidR="00474997">
              <w:rPr>
                <w:noProof/>
                <w:webHidden/>
              </w:rPr>
              <w:instrText xml:space="preserve"> PAGEREF _Toc161077734 \h </w:instrText>
            </w:r>
            <w:r w:rsidR="00474997">
              <w:rPr>
                <w:noProof/>
                <w:webHidden/>
              </w:rPr>
            </w:r>
            <w:r w:rsidR="00474997">
              <w:rPr>
                <w:noProof/>
                <w:webHidden/>
              </w:rPr>
              <w:fldChar w:fldCharType="separate"/>
            </w:r>
            <w:r w:rsidR="007F4B54">
              <w:rPr>
                <w:noProof/>
                <w:webHidden/>
              </w:rPr>
              <w:t>3</w:t>
            </w:r>
            <w:r w:rsidR="00474997">
              <w:rPr>
                <w:noProof/>
                <w:webHidden/>
              </w:rPr>
              <w:fldChar w:fldCharType="end"/>
            </w:r>
          </w:hyperlink>
        </w:p>
        <w:p w14:paraId="2B89EDD2" w14:textId="375D7C72" w:rsidR="00474997" w:rsidRDefault="00000000">
          <w:pPr>
            <w:pStyle w:val="TOC1"/>
            <w:tabs>
              <w:tab w:val="right" w:leader="dot" w:pos="9016"/>
            </w:tabs>
            <w:rPr>
              <w:noProof/>
            </w:rPr>
          </w:pPr>
          <w:hyperlink w:anchor="_Toc161077735" w:history="1">
            <w:r w:rsidR="00474997" w:rsidRPr="00234AE9">
              <w:rPr>
                <w:rStyle w:val="Hyperlink"/>
                <w:noProof/>
              </w:rPr>
              <w:t>Insights and Learning Catalysts</w:t>
            </w:r>
            <w:r w:rsidR="00474997">
              <w:rPr>
                <w:noProof/>
                <w:webHidden/>
              </w:rPr>
              <w:tab/>
            </w:r>
            <w:r w:rsidR="00474997">
              <w:rPr>
                <w:noProof/>
                <w:webHidden/>
              </w:rPr>
              <w:fldChar w:fldCharType="begin"/>
            </w:r>
            <w:r w:rsidR="00474997">
              <w:rPr>
                <w:noProof/>
                <w:webHidden/>
              </w:rPr>
              <w:instrText xml:space="preserve"> PAGEREF _Toc161077735 \h </w:instrText>
            </w:r>
            <w:r w:rsidR="00474997">
              <w:rPr>
                <w:noProof/>
                <w:webHidden/>
              </w:rPr>
            </w:r>
            <w:r w:rsidR="00474997">
              <w:rPr>
                <w:noProof/>
                <w:webHidden/>
              </w:rPr>
              <w:fldChar w:fldCharType="separate"/>
            </w:r>
            <w:r w:rsidR="007F4B54">
              <w:rPr>
                <w:noProof/>
                <w:webHidden/>
              </w:rPr>
              <w:t>4</w:t>
            </w:r>
            <w:r w:rsidR="00474997">
              <w:rPr>
                <w:noProof/>
                <w:webHidden/>
              </w:rPr>
              <w:fldChar w:fldCharType="end"/>
            </w:r>
          </w:hyperlink>
        </w:p>
        <w:p w14:paraId="65755865" w14:textId="67881C9A" w:rsidR="00474997" w:rsidRDefault="00000000">
          <w:pPr>
            <w:pStyle w:val="TOC1"/>
            <w:tabs>
              <w:tab w:val="right" w:leader="dot" w:pos="9016"/>
            </w:tabs>
            <w:rPr>
              <w:noProof/>
            </w:rPr>
          </w:pPr>
          <w:hyperlink w:anchor="_Toc161077736" w:history="1">
            <w:r w:rsidR="00474997" w:rsidRPr="00234AE9">
              <w:rPr>
                <w:rStyle w:val="Hyperlink"/>
                <w:noProof/>
              </w:rPr>
              <w:t>Skills Development and Real-World Application</w:t>
            </w:r>
            <w:r w:rsidR="00474997">
              <w:rPr>
                <w:noProof/>
                <w:webHidden/>
              </w:rPr>
              <w:tab/>
            </w:r>
            <w:r w:rsidR="00474997">
              <w:rPr>
                <w:noProof/>
                <w:webHidden/>
              </w:rPr>
              <w:fldChar w:fldCharType="begin"/>
            </w:r>
            <w:r w:rsidR="00474997">
              <w:rPr>
                <w:noProof/>
                <w:webHidden/>
              </w:rPr>
              <w:instrText xml:space="preserve"> PAGEREF _Toc161077736 \h </w:instrText>
            </w:r>
            <w:r w:rsidR="00474997">
              <w:rPr>
                <w:noProof/>
                <w:webHidden/>
              </w:rPr>
            </w:r>
            <w:r w:rsidR="00474997">
              <w:rPr>
                <w:noProof/>
                <w:webHidden/>
              </w:rPr>
              <w:fldChar w:fldCharType="separate"/>
            </w:r>
            <w:r w:rsidR="007F4B54">
              <w:rPr>
                <w:noProof/>
                <w:webHidden/>
              </w:rPr>
              <w:t>4</w:t>
            </w:r>
            <w:r w:rsidR="00474997">
              <w:rPr>
                <w:noProof/>
                <w:webHidden/>
              </w:rPr>
              <w:fldChar w:fldCharType="end"/>
            </w:r>
          </w:hyperlink>
        </w:p>
        <w:p w14:paraId="61CD02FD" w14:textId="7A56FE81" w:rsidR="00474997" w:rsidRDefault="00000000">
          <w:pPr>
            <w:pStyle w:val="TOC1"/>
            <w:tabs>
              <w:tab w:val="right" w:leader="dot" w:pos="9016"/>
            </w:tabs>
            <w:rPr>
              <w:noProof/>
            </w:rPr>
          </w:pPr>
          <w:hyperlink w:anchor="_Toc161077737" w:history="1">
            <w:r w:rsidR="00474997" w:rsidRPr="00234AE9">
              <w:rPr>
                <w:rStyle w:val="Hyperlink"/>
                <w:noProof/>
              </w:rPr>
              <w:t>Integrity and Ethical Considerations</w:t>
            </w:r>
            <w:r w:rsidR="00474997">
              <w:rPr>
                <w:noProof/>
                <w:webHidden/>
              </w:rPr>
              <w:tab/>
            </w:r>
            <w:r w:rsidR="00474997">
              <w:rPr>
                <w:noProof/>
                <w:webHidden/>
              </w:rPr>
              <w:fldChar w:fldCharType="begin"/>
            </w:r>
            <w:r w:rsidR="00474997">
              <w:rPr>
                <w:noProof/>
                <w:webHidden/>
              </w:rPr>
              <w:instrText xml:space="preserve"> PAGEREF _Toc161077737 \h </w:instrText>
            </w:r>
            <w:r w:rsidR="00474997">
              <w:rPr>
                <w:noProof/>
                <w:webHidden/>
              </w:rPr>
            </w:r>
            <w:r w:rsidR="00474997">
              <w:rPr>
                <w:noProof/>
                <w:webHidden/>
              </w:rPr>
              <w:fldChar w:fldCharType="separate"/>
            </w:r>
            <w:r w:rsidR="007F4B54">
              <w:rPr>
                <w:noProof/>
                <w:webHidden/>
              </w:rPr>
              <w:t>4</w:t>
            </w:r>
            <w:r w:rsidR="00474997">
              <w:rPr>
                <w:noProof/>
                <w:webHidden/>
              </w:rPr>
              <w:fldChar w:fldCharType="end"/>
            </w:r>
          </w:hyperlink>
        </w:p>
        <w:p w14:paraId="10F89E1F" w14:textId="090991EA" w:rsidR="00474997" w:rsidRDefault="00000000">
          <w:pPr>
            <w:pStyle w:val="TOC1"/>
            <w:tabs>
              <w:tab w:val="right" w:leader="dot" w:pos="9016"/>
            </w:tabs>
            <w:rPr>
              <w:noProof/>
            </w:rPr>
          </w:pPr>
          <w:hyperlink w:anchor="_Toc161077738" w:history="1">
            <w:r w:rsidR="00474997" w:rsidRPr="00234AE9">
              <w:rPr>
                <w:rStyle w:val="Hyperlink"/>
                <w:noProof/>
                <w:lang w:eastAsia="en-GB"/>
              </w:rPr>
              <w:t>Conclusion</w:t>
            </w:r>
            <w:r w:rsidR="00474997">
              <w:rPr>
                <w:noProof/>
                <w:webHidden/>
              </w:rPr>
              <w:tab/>
            </w:r>
            <w:r w:rsidR="00474997">
              <w:rPr>
                <w:noProof/>
                <w:webHidden/>
              </w:rPr>
              <w:fldChar w:fldCharType="begin"/>
            </w:r>
            <w:r w:rsidR="00474997">
              <w:rPr>
                <w:noProof/>
                <w:webHidden/>
              </w:rPr>
              <w:instrText xml:space="preserve"> PAGEREF _Toc161077738 \h </w:instrText>
            </w:r>
            <w:r w:rsidR="00474997">
              <w:rPr>
                <w:noProof/>
                <w:webHidden/>
              </w:rPr>
            </w:r>
            <w:r w:rsidR="00474997">
              <w:rPr>
                <w:noProof/>
                <w:webHidden/>
              </w:rPr>
              <w:fldChar w:fldCharType="separate"/>
            </w:r>
            <w:r w:rsidR="007F4B54">
              <w:rPr>
                <w:noProof/>
                <w:webHidden/>
              </w:rPr>
              <w:t>4</w:t>
            </w:r>
            <w:r w:rsidR="00474997">
              <w:rPr>
                <w:noProof/>
                <w:webHidden/>
              </w:rPr>
              <w:fldChar w:fldCharType="end"/>
            </w:r>
          </w:hyperlink>
        </w:p>
        <w:p w14:paraId="2CD6C88E" w14:textId="69863AB3" w:rsidR="00474997" w:rsidRDefault="00000000">
          <w:pPr>
            <w:pStyle w:val="TOC1"/>
            <w:tabs>
              <w:tab w:val="right" w:leader="dot" w:pos="9016"/>
            </w:tabs>
            <w:rPr>
              <w:noProof/>
            </w:rPr>
          </w:pPr>
          <w:hyperlink w:anchor="_Toc161077739" w:history="1">
            <w:r w:rsidR="00474997" w:rsidRPr="00234AE9">
              <w:rPr>
                <w:rStyle w:val="Hyperlink"/>
                <w:noProof/>
              </w:rPr>
              <w:t>References</w:t>
            </w:r>
            <w:r w:rsidR="00474997">
              <w:rPr>
                <w:noProof/>
                <w:webHidden/>
              </w:rPr>
              <w:tab/>
            </w:r>
            <w:r w:rsidR="00474997">
              <w:rPr>
                <w:noProof/>
                <w:webHidden/>
              </w:rPr>
              <w:fldChar w:fldCharType="begin"/>
            </w:r>
            <w:r w:rsidR="00474997">
              <w:rPr>
                <w:noProof/>
                <w:webHidden/>
              </w:rPr>
              <w:instrText xml:space="preserve"> PAGEREF _Toc161077739 \h </w:instrText>
            </w:r>
            <w:r w:rsidR="00474997">
              <w:rPr>
                <w:noProof/>
                <w:webHidden/>
              </w:rPr>
            </w:r>
            <w:r w:rsidR="00474997">
              <w:rPr>
                <w:noProof/>
                <w:webHidden/>
              </w:rPr>
              <w:fldChar w:fldCharType="separate"/>
            </w:r>
            <w:r w:rsidR="007F4B54">
              <w:rPr>
                <w:noProof/>
                <w:webHidden/>
              </w:rPr>
              <w:t>5</w:t>
            </w:r>
            <w:r w:rsidR="00474997">
              <w:rPr>
                <w:noProof/>
                <w:webHidden/>
              </w:rPr>
              <w:fldChar w:fldCharType="end"/>
            </w:r>
          </w:hyperlink>
        </w:p>
        <w:p w14:paraId="5C5823F0" w14:textId="0396D958" w:rsidR="00474997" w:rsidRDefault="00474997">
          <w:r>
            <w:rPr>
              <w:b/>
              <w:bCs/>
              <w:noProof/>
            </w:rPr>
            <w:fldChar w:fldCharType="end"/>
          </w:r>
        </w:p>
      </w:sdtContent>
    </w:sdt>
    <w:p w14:paraId="5C89C557" w14:textId="77777777" w:rsidR="00474997" w:rsidRDefault="00474997">
      <w:pPr>
        <w:rPr>
          <w:rFonts w:asciiTheme="majorHAnsi" w:eastAsia="Times New Roman" w:hAnsiTheme="majorHAnsi" w:cstheme="majorBidi"/>
          <w:color w:val="0F4761" w:themeColor="accent1" w:themeShade="BF"/>
          <w:sz w:val="40"/>
          <w:szCs w:val="40"/>
          <w:lang w:eastAsia="en-GB"/>
        </w:rPr>
      </w:pPr>
      <w:bookmarkStart w:id="0" w:name="_Toc161077731"/>
      <w:r>
        <w:rPr>
          <w:rFonts w:eastAsia="Times New Roman"/>
          <w:lang w:eastAsia="en-GB"/>
        </w:rPr>
        <w:br w:type="page"/>
      </w:r>
    </w:p>
    <w:p w14:paraId="0BDE9255" w14:textId="6F70FC3E" w:rsidR="00474997" w:rsidRPr="00474997" w:rsidRDefault="00474997" w:rsidP="00474997">
      <w:pPr>
        <w:pStyle w:val="Heading1"/>
        <w:rPr>
          <w:rFonts w:eastAsia="Times New Roman"/>
          <w:lang w:eastAsia="en-GB"/>
        </w:rPr>
      </w:pPr>
      <w:r w:rsidRPr="00474997">
        <w:rPr>
          <w:rFonts w:eastAsia="Times New Roman"/>
          <w:lang w:eastAsia="en-GB"/>
        </w:rPr>
        <w:lastRenderedPageBreak/>
        <w:t>Individual Reflective Piece</w:t>
      </w:r>
      <w:bookmarkEnd w:id="0"/>
    </w:p>
    <w:p w14:paraId="7307106C" w14:textId="77777777" w:rsidR="00474997" w:rsidRPr="00474997" w:rsidRDefault="00474997" w:rsidP="00474997">
      <w:pPr>
        <w:rPr>
          <w:rFonts w:ascii="Arial" w:hAnsi="Arial" w:cs="Arial"/>
          <w:sz w:val="28"/>
          <w:szCs w:val="28"/>
        </w:rPr>
      </w:pPr>
    </w:p>
    <w:p w14:paraId="522F1811" w14:textId="5BB887D6" w:rsidR="00B901B4" w:rsidRPr="00B901B4" w:rsidRDefault="00B901B4" w:rsidP="00474997">
      <w:pPr>
        <w:jc w:val="both"/>
        <w:rPr>
          <w:rFonts w:ascii="Arial" w:hAnsi="Arial" w:cs="Arial"/>
          <w:sz w:val="28"/>
          <w:szCs w:val="28"/>
          <w:lang w:eastAsia="en-GB"/>
        </w:rPr>
      </w:pPr>
      <w:r w:rsidRPr="00B901B4">
        <w:rPr>
          <w:rFonts w:ascii="Arial" w:hAnsi="Arial" w:cs="Arial"/>
          <w:sz w:val="28"/>
          <w:szCs w:val="28"/>
          <w:lang w:eastAsia="en-GB"/>
        </w:rPr>
        <w:t>Embarking on this module has been a transformative journey, intricately weaving through the complex tapestry of information security, legal frameworks, ethical considerations, and the social implications of our professional actions.</w:t>
      </w:r>
      <w:r w:rsidR="00456F70">
        <w:rPr>
          <w:rFonts w:ascii="Arial" w:hAnsi="Arial" w:cs="Arial"/>
          <w:sz w:val="28"/>
          <w:szCs w:val="28"/>
          <w:lang w:eastAsia="en-GB"/>
        </w:rPr>
        <w:t xml:space="preserve"> </w:t>
      </w:r>
      <w:hyperlink r:id="rId6" w:history="1">
        <w:r w:rsidRPr="00456F70">
          <w:rPr>
            <w:rStyle w:val="Hyperlink"/>
            <w:rFonts w:ascii="Arial" w:hAnsi="Arial" w:cs="Arial"/>
            <w:b/>
            <w:bCs/>
            <w:sz w:val="28"/>
            <w:szCs w:val="28"/>
            <w:lang w:eastAsia="en-GB"/>
          </w:rPr>
          <w:t>This r</w:t>
        </w:r>
        <w:r w:rsidRPr="00456F70">
          <w:rPr>
            <w:rStyle w:val="Hyperlink"/>
            <w:rFonts w:ascii="Arial" w:hAnsi="Arial" w:cs="Arial"/>
            <w:b/>
            <w:bCs/>
            <w:sz w:val="28"/>
            <w:szCs w:val="28"/>
            <w:lang w:eastAsia="en-GB"/>
          </w:rPr>
          <w:t>e</w:t>
        </w:r>
        <w:r w:rsidRPr="00456F70">
          <w:rPr>
            <w:rStyle w:val="Hyperlink"/>
            <w:rFonts w:ascii="Arial" w:hAnsi="Arial" w:cs="Arial"/>
            <w:b/>
            <w:bCs/>
            <w:sz w:val="28"/>
            <w:szCs w:val="28"/>
            <w:lang w:eastAsia="en-GB"/>
          </w:rPr>
          <w:t>flective piece</w:t>
        </w:r>
      </w:hyperlink>
      <w:r w:rsidRPr="00B901B4">
        <w:rPr>
          <w:rFonts w:ascii="Arial" w:hAnsi="Arial" w:cs="Arial"/>
          <w:sz w:val="28"/>
          <w:szCs w:val="28"/>
          <w:lang w:eastAsia="en-GB"/>
        </w:rPr>
        <w:t xml:space="preserve"> </w:t>
      </w:r>
      <w:r w:rsidR="00474997" w:rsidRPr="00B901B4">
        <w:rPr>
          <w:rFonts w:ascii="Arial" w:hAnsi="Arial" w:cs="Arial"/>
          <w:sz w:val="28"/>
          <w:szCs w:val="28"/>
          <w:lang w:eastAsia="en-GB"/>
        </w:rPr>
        <w:t>distils</w:t>
      </w:r>
      <w:r w:rsidRPr="00B901B4">
        <w:rPr>
          <w:rFonts w:ascii="Arial" w:hAnsi="Arial" w:cs="Arial"/>
          <w:sz w:val="28"/>
          <w:szCs w:val="28"/>
          <w:lang w:eastAsia="en-GB"/>
        </w:rPr>
        <w:t xml:space="preserve"> the essence of my experiences, learnings, and introspections, adhering closely to the guiding questions and structured reflection model proposed by Rolfe et al. (2001).</w:t>
      </w:r>
    </w:p>
    <w:p w14:paraId="73BB2129" w14:textId="77777777" w:rsidR="00B901B4" w:rsidRPr="00474997" w:rsidRDefault="00B901B4" w:rsidP="00474997">
      <w:pPr>
        <w:pStyle w:val="Heading1"/>
      </w:pPr>
      <w:bookmarkStart w:id="1" w:name="_Toc161077732"/>
      <w:r w:rsidRPr="00474997">
        <w:t>Project Outcomes and Knowledge Gained</w:t>
      </w:r>
      <w:bookmarkEnd w:id="1"/>
    </w:p>
    <w:p w14:paraId="6CF40BB1" w14:textId="2C973BA7" w:rsidR="00B901B4" w:rsidRPr="00474997" w:rsidRDefault="00B901B4" w:rsidP="00474997">
      <w:pPr>
        <w:jc w:val="both"/>
        <w:rPr>
          <w:rFonts w:ascii="Arial" w:hAnsi="Arial" w:cs="Arial"/>
          <w:sz w:val="28"/>
          <w:szCs w:val="28"/>
          <w:lang w:eastAsia="en-GB"/>
        </w:rPr>
      </w:pPr>
      <w:r w:rsidRPr="00B901B4">
        <w:rPr>
          <w:rFonts w:ascii="Arial" w:hAnsi="Arial" w:cs="Arial"/>
          <w:sz w:val="28"/>
          <w:szCs w:val="28"/>
          <w:lang w:eastAsia="en-GB"/>
        </w:rPr>
        <w:t xml:space="preserve">The crux of my engagement was the comprehensive security audit of the hypothetical platform, HelpRUs, an </w:t>
      </w:r>
      <w:r w:rsidR="00474997" w:rsidRPr="00B901B4">
        <w:rPr>
          <w:rFonts w:ascii="Arial" w:hAnsi="Arial" w:cs="Arial"/>
          <w:sz w:val="28"/>
          <w:szCs w:val="28"/>
          <w:lang w:eastAsia="en-GB"/>
        </w:rPr>
        <w:t>endeavour</w:t>
      </w:r>
      <w:r w:rsidRPr="00B901B4">
        <w:rPr>
          <w:rFonts w:ascii="Arial" w:hAnsi="Arial" w:cs="Arial"/>
          <w:sz w:val="28"/>
          <w:szCs w:val="28"/>
          <w:lang w:eastAsia="en-GB"/>
        </w:rPr>
        <w:t xml:space="preserve"> that served as both a mirror and a window. A mirror reflecting the current state of my knowledge and skills; a window opening to the vistas of uncharted knowledge territories I had yet to explore. This process, grounded in the application of tools like OWASP ZAP and adherence to benchmarks such as the OWASP Top 10 (OWASP, 2023), not only bolstered my technical acumen but also deepened my understanding of the pivotal role of standards in safeguarding digital ecosystems.</w:t>
      </w:r>
    </w:p>
    <w:p w14:paraId="2FB35819" w14:textId="77777777" w:rsidR="00474997" w:rsidRPr="00474997" w:rsidRDefault="00474997" w:rsidP="00474997">
      <w:pPr>
        <w:rPr>
          <w:rFonts w:ascii="Arial" w:hAnsi="Arial" w:cs="Arial"/>
          <w:sz w:val="28"/>
          <w:szCs w:val="28"/>
        </w:rPr>
      </w:pPr>
    </w:p>
    <w:p w14:paraId="42CA7ECA" w14:textId="77777777" w:rsidR="00474997" w:rsidRDefault="00474997" w:rsidP="00474997">
      <w:pPr>
        <w:pStyle w:val="ListParagraph"/>
        <w:numPr>
          <w:ilvl w:val="0"/>
          <w:numId w:val="4"/>
        </w:numPr>
        <w:jc w:val="both"/>
        <w:rPr>
          <w:rFonts w:ascii="Arial" w:hAnsi="Arial" w:cs="Arial"/>
          <w:sz w:val="28"/>
          <w:szCs w:val="28"/>
          <w:lang w:eastAsia="en-GB"/>
        </w:rPr>
      </w:pPr>
      <w:r w:rsidRPr="00474997">
        <w:rPr>
          <w:rFonts w:ascii="Arial" w:hAnsi="Arial" w:cs="Arial"/>
          <w:sz w:val="28"/>
          <w:szCs w:val="28"/>
          <w:lang w:eastAsia="en-GB"/>
        </w:rPr>
        <w:t>Performed an in-depth security analysis of HelpRUs using OWASP ZAP, focusing on vulnerabilities as outlined by the OWASP Top 10 standards (OWASP, 2023).</w:t>
      </w:r>
    </w:p>
    <w:p w14:paraId="03C32949" w14:textId="77777777" w:rsidR="00474997" w:rsidRPr="00474997" w:rsidRDefault="00474997" w:rsidP="00474997">
      <w:pPr>
        <w:pStyle w:val="ListParagraph"/>
        <w:jc w:val="both"/>
        <w:rPr>
          <w:rFonts w:ascii="Arial" w:hAnsi="Arial" w:cs="Arial"/>
          <w:sz w:val="28"/>
          <w:szCs w:val="28"/>
          <w:lang w:eastAsia="en-GB"/>
        </w:rPr>
      </w:pPr>
    </w:p>
    <w:p w14:paraId="2BBDAE1F" w14:textId="3F069F12" w:rsidR="00474997" w:rsidRPr="00474997" w:rsidRDefault="00474997" w:rsidP="00474997">
      <w:pPr>
        <w:pStyle w:val="ListParagraph"/>
        <w:numPr>
          <w:ilvl w:val="0"/>
          <w:numId w:val="4"/>
        </w:numPr>
        <w:jc w:val="both"/>
        <w:rPr>
          <w:rFonts w:ascii="Arial" w:hAnsi="Arial" w:cs="Arial"/>
          <w:sz w:val="28"/>
          <w:szCs w:val="28"/>
          <w:lang w:eastAsia="en-GB"/>
        </w:rPr>
      </w:pPr>
      <w:r w:rsidRPr="00474997">
        <w:rPr>
          <w:rFonts w:ascii="Arial" w:hAnsi="Arial" w:cs="Arial"/>
          <w:sz w:val="28"/>
          <w:szCs w:val="28"/>
          <w:lang w:eastAsia="en-GB"/>
        </w:rPr>
        <w:t>Utilized OWASP ZAP for identifying both straightforward and complex security issues, simulating attacks to assess HelpRUs's defence mechanisms.</w:t>
      </w:r>
    </w:p>
    <w:p w14:paraId="15E5CB87" w14:textId="77777777" w:rsidR="00474997" w:rsidRPr="00474997" w:rsidRDefault="00474997" w:rsidP="00474997">
      <w:pPr>
        <w:pStyle w:val="ListParagraph"/>
        <w:jc w:val="both"/>
        <w:rPr>
          <w:rFonts w:ascii="Arial" w:hAnsi="Arial" w:cs="Arial"/>
          <w:sz w:val="28"/>
          <w:szCs w:val="28"/>
          <w:lang w:eastAsia="en-GB"/>
        </w:rPr>
      </w:pPr>
    </w:p>
    <w:p w14:paraId="53EEFB46" w14:textId="77777777" w:rsidR="00474997" w:rsidRDefault="00474997" w:rsidP="00474997">
      <w:pPr>
        <w:pStyle w:val="ListParagraph"/>
        <w:numPr>
          <w:ilvl w:val="0"/>
          <w:numId w:val="4"/>
        </w:numPr>
        <w:jc w:val="both"/>
        <w:rPr>
          <w:rFonts w:ascii="Arial" w:hAnsi="Arial" w:cs="Arial"/>
          <w:sz w:val="28"/>
          <w:szCs w:val="28"/>
          <w:lang w:eastAsia="en-GB"/>
        </w:rPr>
      </w:pPr>
      <w:r w:rsidRPr="00474997">
        <w:rPr>
          <w:rFonts w:ascii="Arial" w:hAnsi="Arial" w:cs="Arial"/>
          <w:sz w:val="28"/>
          <w:szCs w:val="28"/>
          <w:lang w:eastAsia="en-GB"/>
        </w:rPr>
        <w:t>Benchmarked the platform's security protocols against the OWASP Top 10, establishing a clear criterion for cybersecurity efficacy.</w:t>
      </w:r>
    </w:p>
    <w:p w14:paraId="2CB77D70" w14:textId="77777777" w:rsidR="00474997" w:rsidRPr="00474997" w:rsidRDefault="00474997" w:rsidP="00474997">
      <w:pPr>
        <w:pStyle w:val="ListParagraph"/>
        <w:jc w:val="both"/>
        <w:rPr>
          <w:rFonts w:ascii="Arial" w:hAnsi="Arial" w:cs="Arial"/>
          <w:sz w:val="28"/>
          <w:szCs w:val="28"/>
          <w:lang w:eastAsia="en-GB"/>
        </w:rPr>
      </w:pPr>
    </w:p>
    <w:p w14:paraId="122A8479" w14:textId="77777777" w:rsidR="00474997" w:rsidRDefault="00474997" w:rsidP="00474997">
      <w:pPr>
        <w:pStyle w:val="ListParagraph"/>
        <w:numPr>
          <w:ilvl w:val="0"/>
          <w:numId w:val="4"/>
        </w:numPr>
        <w:jc w:val="both"/>
        <w:rPr>
          <w:rFonts w:ascii="Arial" w:hAnsi="Arial" w:cs="Arial"/>
          <w:sz w:val="28"/>
          <w:szCs w:val="28"/>
          <w:lang w:eastAsia="en-GB"/>
        </w:rPr>
      </w:pPr>
      <w:r w:rsidRPr="00474997">
        <w:rPr>
          <w:rFonts w:ascii="Arial" w:hAnsi="Arial" w:cs="Arial"/>
          <w:sz w:val="28"/>
          <w:szCs w:val="28"/>
          <w:lang w:eastAsia="en-GB"/>
        </w:rPr>
        <w:t>Stressed the significance of adopting a proactive stance on security, highlighting the necessity of regular updates and vigilance against new threats.</w:t>
      </w:r>
    </w:p>
    <w:p w14:paraId="0A65604C" w14:textId="77777777" w:rsidR="00474997" w:rsidRPr="00474997" w:rsidRDefault="00474997" w:rsidP="00474997">
      <w:pPr>
        <w:jc w:val="both"/>
        <w:rPr>
          <w:rFonts w:ascii="Arial" w:hAnsi="Arial" w:cs="Arial"/>
          <w:sz w:val="28"/>
          <w:szCs w:val="28"/>
          <w:lang w:eastAsia="en-GB"/>
        </w:rPr>
      </w:pPr>
    </w:p>
    <w:p w14:paraId="48A2D997" w14:textId="18F6CA53" w:rsidR="00474997" w:rsidRDefault="00474997" w:rsidP="00474997">
      <w:pPr>
        <w:pStyle w:val="ListParagraph"/>
        <w:numPr>
          <w:ilvl w:val="0"/>
          <w:numId w:val="4"/>
        </w:numPr>
        <w:jc w:val="both"/>
        <w:rPr>
          <w:rFonts w:ascii="Arial" w:hAnsi="Arial" w:cs="Arial"/>
          <w:sz w:val="28"/>
          <w:szCs w:val="28"/>
          <w:lang w:eastAsia="en-GB"/>
        </w:rPr>
      </w:pPr>
      <w:r w:rsidRPr="00474997">
        <w:rPr>
          <w:rFonts w:ascii="Arial" w:hAnsi="Arial" w:cs="Arial"/>
          <w:sz w:val="28"/>
          <w:szCs w:val="28"/>
          <w:lang w:eastAsia="en-GB"/>
        </w:rPr>
        <w:t>Acknowledged the continuous nature of cybersecurity efforts, illustrating the need for constant improvement in defence strategies.</w:t>
      </w:r>
    </w:p>
    <w:p w14:paraId="612B84E8" w14:textId="77777777" w:rsidR="00474997" w:rsidRPr="00474997" w:rsidRDefault="00474997" w:rsidP="00474997">
      <w:pPr>
        <w:pStyle w:val="ListParagraph"/>
        <w:rPr>
          <w:rFonts w:ascii="Arial" w:hAnsi="Arial" w:cs="Arial"/>
          <w:sz w:val="28"/>
          <w:szCs w:val="28"/>
          <w:lang w:eastAsia="en-GB"/>
        </w:rPr>
      </w:pPr>
    </w:p>
    <w:p w14:paraId="355035C5" w14:textId="77777777" w:rsidR="00474997" w:rsidRPr="00474997" w:rsidRDefault="00474997" w:rsidP="00474997">
      <w:pPr>
        <w:jc w:val="both"/>
        <w:rPr>
          <w:rFonts w:ascii="Arial" w:hAnsi="Arial" w:cs="Arial"/>
          <w:sz w:val="28"/>
          <w:szCs w:val="28"/>
          <w:lang w:eastAsia="en-GB"/>
        </w:rPr>
      </w:pPr>
    </w:p>
    <w:p w14:paraId="2E39FCAD" w14:textId="77777777" w:rsidR="00474997" w:rsidRPr="00474997" w:rsidRDefault="00474997" w:rsidP="00474997">
      <w:pPr>
        <w:pStyle w:val="ListParagraph"/>
        <w:numPr>
          <w:ilvl w:val="0"/>
          <w:numId w:val="4"/>
        </w:numPr>
        <w:jc w:val="both"/>
        <w:rPr>
          <w:rFonts w:ascii="Arial" w:hAnsi="Arial" w:cs="Arial"/>
          <w:sz w:val="28"/>
          <w:szCs w:val="28"/>
          <w:lang w:eastAsia="en-GB"/>
        </w:rPr>
      </w:pPr>
      <w:r w:rsidRPr="00474997">
        <w:rPr>
          <w:rFonts w:ascii="Arial" w:hAnsi="Arial" w:cs="Arial"/>
          <w:sz w:val="28"/>
          <w:szCs w:val="28"/>
          <w:lang w:eastAsia="en-GB"/>
        </w:rPr>
        <w:lastRenderedPageBreak/>
        <w:t>Enhanced comprehension of the interplay between technological solutions and policy frameworks, illustrating the fundamental importance of industry standards in protecting digital environments.</w:t>
      </w:r>
    </w:p>
    <w:p w14:paraId="31A50B9A" w14:textId="77777777" w:rsidR="00474997" w:rsidRPr="00B901B4" w:rsidRDefault="00474997" w:rsidP="00474997">
      <w:pPr>
        <w:rPr>
          <w:rFonts w:ascii="Arial" w:hAnsi="Arial" w:cs="Arial"/>
          <w:sz w:val="28"/>
          <w:szCs w:val="28"/>
          <w:lang w:eastAsia="en-GB"/>
        </w:rPr>
      </w:pPr>
    </w:p>
    <w:p w14:paraId="2A4A0DE6" w14:textId="77777777" w:rsidR="00AA53F8" w:rsidRDefault="00B901B4" w:rsidP="00AA53F8">
      <w:pPr>
        <w:pStyle w:val="Heading1"/>
      </w:pPr>
      <w:bookmarkStart w:id="2" w:name="_Toc161077733"/>
      <w:r w:rsidRPr="00474997">
        <w:t>Independent Working and Collaboration</w:t>
      </w:r>
      <w:bookmarkEnd w:id="2"/>
    </w:p>
    <w:p w14:paraId="3407121B" w14:textId="7A264C4D" w:rsidR="00474997" w:rsidRPr="00AA53F8" w:rsidRDefault="00474997" w:rsidP="00AA53F8">
      <w:pPr>
        <w:pStyle w:val="NoSpacing"/>
        <w:rPr>
          <w:rFonts w:ascii="Arial" w:hAnsi="Arial" w:cs="Arial"/>
          <w:sz w:val="28"/>
          <w:szCs w:val="28"/>
        </w:rPr>
      </w:pPr>
      <w:r w:rsidRPr="00474997">
        <w:rPr>
          <w:rFonts w:ascii="Arial" w:hAnsi="Arial" w:cs="Arial"/>
          <w:sz w:val="28"/>
          <w:szCs w:val="28"/>
        </w:rPr>
        <w:br/>
      </w:r>
      <w:r w:rsidRPr="00AA53F8">
        <w:rPr>
          <w:rFonts w:ascii="Arial" w:hAnsi="Arial" w:cs="Arial"/>
          <w:sz w:val="28"/>
          <w:szCs w:val="28"/>
        </w:rPr>
        <w:t>Embarking on a comprehensive security audit of HelpRUs, I navigated through challenges with autonomy while embracing collaboration, highlighting the dual essence of independence and interdependence in information security endeavours.</w:t>
      </w:r>
    </w:p>
    <w:p w14:paraId="612E051B" w14:textId="77777777" w:rsidR="00474997" w:rsidRPr="00B901B4" w:rsidRDefault="00474997" w:rsidP="00474997">
      <w:pPr>
        <w:rPr>
          <w:rFonts w:ascii="Arial" w:hAnsi="Arial" w:cs="Arial"/>
          <w:sz w:val="28"/>
          <w:szCs w:val="28"/>
          <w:lang w:eastAsia="en-GB"/>
        </w:rPr>
      </w:pPr>
    </w:p>
    <w:p w14:paraId="4A0C5BBD" w14:textId="77777777" w:rsidR="00474997" w:rsidRDefault="00474997" w:rsidP="00474997">
      <w:pPr>
        <w:pStyle w:val="ListParagraph"/>
        <w:numPr>
          <w:ilvl w:val="0"/>
          <w:numId w:val="5"/>
        </w:numPr>
        <w:jc w:val="both"/>
        <w:rPr>
          <w:rFonts w:ascii="Arial" w:hAnsi="Arial" w:cs="Arial"/>
          <w:sz w:val="28"/>
          <w:szCs w:val="28"/>
        </w:rPr>
      </w:pPr>
      <w:r w:rsidRPr="00474997">
        <w:rPr>
          <w:rFonts w:ascii="Arial" w:hAnsi="Arial" w:cs="Arial"/>
          <w:sz w:val="28"/>
          <w:szCs w:val="28"/>
        </w:rPr>
        <w:t>Autonomous Exploration: Navigating through the project required stepping out of the comfort zone and exploring unfamiliar territories within my skill set. This autonomous approach encouraged me to take ownership of my learning journey, pushing boundaries and seeking new solutions independently.</w:t>
      </w:r>
    </w:p>
    <w:p w14:paraId="1803C0E2" w14:textId="77777777" w:rsidR="00474997" w:rsidRPr="00474997" w:rsidRDefault="00474997" w:rsidP="00474997">
      <w:pPr>
        <w:pStyle w:val="ListParagraph"/>
        <w:rPr>
          <w:rFonts w:ascii="Arial" w:hAnsi="Arial" w:cs="Arial"/>
          <w:sz w:val="28"/>
          <w:szCs w:val="28"/>
        </w:rPr>
      </w:pPr>
    </w:p>
    <w:p w14:paraId="572850C7" w14:textId="77777777" w:rsidR="00474997" w:rsidRDefault="00474997" w:rsidP="00474997">
      <w:pPr>
        <w:pStyle w:val="ListParagraph"/>
        <w:numPr>
          <w:ilvl w:val="0"/>
          <w:numId w:val="5"/>
        </w:numPr>
        <w:jc w:val="both"/>
        <w:rPr>
          <w:rFonts w:ascii="Arial" w:hAnsi="Arial" w:cs="Arial"/>
          <w:sz w:val="28"/>
          <w:szCs w:val="28"/>
        </w:rPr>
      </w:pPr>
      <w:r w:rsidRPr="00474997">
        <w:rPr>
          <w:rFonts w:ascii="Arial" w:hAnsi="Arial" w:cs="Arial"/>
          <w:sz w:val="28"/>
          <w:szCs w:val="28"/>
        </w:rPr>
        <w:t>Collaborative Exchange: Despite the individual nature of the exploration, collaboration played a crucial role. Engaging with peers and sharing insights fostered a collaborative spirit, enriching the learning experience. Contributions to a shared pool of knowledge not only enhanced my understanding but also benefited the collective expertise of the group.</w:t>
      </w:r>
    </w:p>
    <w:p w14:paraId="2C20BB1E" w14:textId="77777777" w:rsidR="00474997" w:rsidRPr="00474997" w:rsidRDefault="00474997" w:rsidP="00474997">
      <w:pPr>
        <w:pStyle w:val="ListParagraph"/>
        <w:rPr>
          <w:rFonts w:ascii="Arial" w:hAnsi="Arial" w:cs="Arial"/>
          <w:sz w:val="28"/>
          <w:szCs w:val="28"/>
        </w:rPr>
      </w:pPr>
    </w:p>
    <w:p w14:paraId="46A11147" w14:textId="77777777" w:rsidR="00474997" w:rsidRPr="00474997" w:rsidRDefault="00474997" w:rsidP="00474997">
      <w:pPr>
        <w:pStyle w:val="ListParagraph"/>
        <w:rPr>
          <w:rFonts w:ascii="Arial" w:hAnsi="Arial" w:cs="Arial"/>
          <w:sz w:val="28"/>
          <w:szCs w:val="28"/>
        </w:rPr>
      </w:pPr>
    </w:p>
    <w:p w14:paraId="40AFCA72" w14:textId="77777777" w:rsidR="00474997" w:rsidRPr="00474997" w:rsidRDefault="00474997" w:rsidP="00474997">
      <w:pPr>
        <w:pStyle w:val="ListParagraph"/>
        <w:numPr>
          <w:ilvl w:val="0"/>
          <w:numId w:val="5"/>
        </w:numPr>
        <w:jc w:val="both"/>
        <w:rPr>
          <w:rFonts w:ascii="Arial" w:hAnsi="Arial" w:cs="Arial"/>
          <w:sz w:val="28"/>
          <w:szCs w:val="28"/>
        </w:rPr>
      </w:pPr>
      <w:r w:rsidRPr="00474997">
        <w:rPr>
          <w:rFonts w:ascii="Arial" w:hAnsi="Arial" w:cs="Arial"/>
          <w:sz w:val="28"/>
          <w:szCs w:val="28"/>
        </w:rPr>
        <w:t>Balancing Independence and Interdependence: This duality highlighted the essence of information security work. While autonomy is essential for innovation and personal growth, collaboration ensures diverse perspectives and collective problem-solving. Striking a balance between independence and interdependence is key to thriving in the dynamic field of information security.</w:t>
      </w:r>
    </w:p>
    <w:p w14:paraId="1E11A156" w14:textId="77777777" w:rsidR="00B901B4" w:rsidRPr="00474997" w:rsidRDefault="00B901B4" w:rsidP="00474997">
      <w:pPr>
        <w:pStyle w:val="Heading1"/>
      </w:pPr>
      <w:bookmarkStart w:id="3" w:name="_Toc161077734"/>
      <w:r w:rsidRPr="00474997">
        <w:t>Emotional Engagement and Application of Knowledge</w:t>
      </w:r>
      <w:bookmarkEnd w:id="3"/>
    </w:p>
    <w:p w14:paraId="256712AC" w14:textId="3331E5D5" w:rsidR="00B901B4" w:rsidRPr="00B901B4" w:rsidRDefault="00B901B4" w:rsidP="00474997">
      <w:pPr>
        <w:jc w:val="both"/>
        <w:rPr>
          <w:rFonts w:ascii="Arial" w:hAnsi="Arial" w:cs="Arial"/>
          <w:sz w:val="28"/>
          <w:szCs w:val="28"/>
          <w:lang w:eastAsia="en-GB"/>
        </w:rPr>
      </w:pPr>
      <w:r w:rsidRPr="00B901B4">
        <w:rPr>
          <w:rFonts w:ascii="Arial" w:hAnsi="Arial" w:cs="Arial"/>
          <w:sz w:val="28"/>
          <w:szCs w:val="28"/>
          <w:lang w:eastAsia="en-GB"/>
        </w:rPr>
        <w:t xml:space="preserve">The process was not devoid of emotional undertones. Encountering and addressing vulnerabilities like SQL Injection and Cross-Site Scripting (XSS) evoked a profound sense of responsibility. The realization that my recommendations could significantly impact the privacy and security of HelpRUs users imbued me with a sobering sense of the ethical and social dimensions of our profession. This emotional engagement </w:t>
      </w:r>
      <w:r w:rsidR="00474997" w:rsidRPr="00B901B4">
        <w:rPr>
          <w:rFonts w:ascii="Arial" w:hAnsi="Arial" w:cs="Arial"/>
          <w:sz w:val="28"/>
          <w:szCs w:val="28"/>
          <w:lang w:eastAsia="en-GB"/>
        </w:rPr>
        <w:t>catalysed</w:t>
      </w:r>
      <w:r w:rsidRPr="00B901B4">
        <w:rPr>
          <w:rFonts w:ascii="Arial" w:hAnsi="Arial" w:cs="Arial"/>
          <w:sz w:val="28"/>
          <w:szCs w:val="28"/>
          <w:lang w:eastAsia="en-GB"/>
        </w:rPr>
        <w:t xml:space="preserve"> a </w:t>
      </w:r>
      <w:r w:rsidRPr="00B901B4">
        <w:rPr>
          <w:rFonts w:ascii="Arial" w:hAnsi="Arial" w:cs="Arial"/>
          <w:sz w:val="28"/>
          <w:szCs w:val="28"/>
          <w:lang w:eastAsia="en-GB"/>
        </w:rPr>
        <w:lastRenderedPageBreak/>
        <w:t>deeper reflection on my actions and their implications, facilitated by an ongoing dialogue with the literature and best practices in the field (</w:t>
      </w:r>
      <w:proofErr w:type="spellStart"/>
      <w:r w:rsidRPr="00B901B4">
        <w:rPr>
          <w:rFonts w:ascii="Arial" w:hAnsi="Arial" w:cs="Arial"/>
          <w:sz w:val="28"/>
          <w:szCs w:val="28"/>
          <w:lang w:eastAsia="en-GB"/>
        </w:rPr>
        <w:t>Stuttard</w:t>
      </w:r>
      <w:proofErr w:type="spellEnd"/>
      <w:r w:rsidRPr="00B901B4">
        <w:rPr>
          <w:rFonts w:ascii="Arial" w:hAnsi="Arial" w:cs="Arial"/>
          <w:sz w:val="28"/>
          <w:szCs w:val="28"/>
          <w:lang w:eastAsia="en-GB"/>
        </w:rPr>
        <w:t xml:space="preserve"> &amp; Pinto, 2021; </w:t>
      </w:r>
      <w:proofErr w:type="spellStart"/>
      <w:r w:rsidRPr="00B901B4">
        <w:rPr>
          <w:rFonts w:ascii="Arial" w:hAnsi="Arial" w:cs="Arial"/>
          <w:sz w:val="28"/>
          <w:szCs w:val="28"/>
          <w:lang w:eastAsia="en-GB"/>
        </w:rPr>
        <w:t>Hadnagy</w:t>
      </w:r>
      <w:proofErr w:type="spellEnd"/>
      <w:r w:rsidRPr="00B901B4">
        <w:rPr>
          <w:rFonts w:ascii="Arial" w:hAnsi="Arial" w:cs="Arial"/>
          <w:sz w:val="28"/>
          <w:szCs w:val="28"/>
          <w:lang w:eastAsia="en-GB"/>
        </w:rPr>
        <w:t>, 2018).</w:t>
      </w:r>
    </w:p>
    <w:p w14:paraId="7E440D53" w14:textId="77777777" w:rsidR="00B901B4" w:rsidRPr="00474997" w:rsidRDefault="00B901B4" w:rsidP="00474997">
      <w:pPr>
        <w:pStyle w:val="Heading1"/>
      </w:pPr>
      <w:bookmarkStart w:id="4" w:name="_Toc161077735"/>
      <w:r w:rsidRPr="00474997">
        <w:t>Insights and Learning Catalysts</w:t>
      </w:r>
      <w:bookmarkEnd w:id="4"/>
    </w:p>
    <w:p w14:paraId="13C015E0" w14:textId="77777777" w:rsidR="00B901B4" w:rsidRPr="00B901B4" w:rsidRDefault="00B901B4" w:rsidP="00474997">
      <w:pPr>
        <w:jc w:val="both"/>
        <w:rPr>
          <w:rFonts w:ascii="Arial" w:hAnsi="Arial" w:cs="Arial"/>
          <w:sz w:val="28"/>
          <w:szCs w:val="28"/>
          <w:lang w:eastAsia="en-GB"/>
        </w:rPr>
      </w:pPr>
      <w:r w:rsidRPr="00B901B4">
        <w:rPr>
          <w:rFonts w:ascii="Arial" w:hAnsi="Arial" w:cs="Arial"/>
          <w:sz w:val="28"/>
          <w:szCs w:val="28"/>
          <w:lang w:eastAsia="en-GB"/>
        </w:rPr>
        <w:t>A particularly illuminating moment was the identification and mitigation of a sophisticated XSS vulnerability. This incident was not just a technical hurdle overcome but a profound learning catalyst. It underscored the importance of resilience, continuous learning, and the readiness to adapt to new challenges—a quintessential trait in the ever-evolving cybersecurity landscape.</w:t>
      </w:r>
    </w:p>
    <w:p w14:paraId="4B13FB6E" w14:textId="77777777" w:rsidR="00B901B4" w:rsidRPr="00474997" w:rsidRDefault="00B901B4" w:rsidP="00474997">
      <w:pPr>
        <w:pStyle w:val="Heading1"/>
      </w:pPr>
      <w:bookmarkStart w:id="5" w:name="_Toc161077736"/>
      <w:r w:rsidRPr="00474997">
        <w:t>Skills Development and Real-World Application</w:t>
      </w:r>
      <w:bookmarkEnd w:id="5"/>
    </w:p>
    <w:p w14:paraId="58A1889F" w14:textId="77777777" w:rsidR="00B901B4" w:rsidRPr="00B901B4" w:rsidRDefault="00B901B4" w:rsidP="00474997">
      <w:pPr>
        <w:jc w:val="both"/>
        <w:rPr>
          <w:rFonts w:ascii="Arial" w:hAnsi="Arial" w:cs="Arial"/>
          <w:sz w:val="28"/>
          <w:szCs w:val="28"/>
          <w:lang w:eastAsia="en-GB"/>
        </w:rPr>
      </w:pPr>
      <w:r w:rsidRPr="00B901B4">
        <w:rPr>
          <w:rFonts w:ascii="Arial" w:hAnsi="Arial" w:cs="Arial"/>
          <w:sz w:val="28"/>
          <w:szCs w:val="28"/>
          <w:lang w:eastAsia="en-GB"/>
        </w:rPr>
        <w:t>This module has been instrumental in the development of a diverse skill set, encompassing both the technical prowess required to identify and mitigate security risks and the soft skills crucial for effective communication and teamwork. The project's real-world applicability was immediately evident in the formulation of a comprehensive security improvement plan for HelpRUs, a testament to the practical value of the theoretical foundations laid throughout this module.</w:t>
      </w:r>
    </w:p>
    <w:p w14:paraId="4803178C" w14:textId="77777777" w:rsidR="00B901B4" w:rsidRPr="00474997" w:rsidRDefault="00B901B4" w:rsidP="00474997">
      <w:pPr>
        <w:pStyle w:val="Heading1"/>
      </w:pPr>
      <w:bookmarkStart w:id="6" w:name="_Toc161077737"/>
      <w:r w:rsidRPr="00474997">
        <w:t>Integrity and Ethical Considerations</w:t>
      </w:r>
      <w:bookmarkEnd w:id="6"/>
    </w:p>
    <w:p w14:paraId="39AB4341" w14:textId="7CEE0D24" w:rsidR="00B901B4" w:rsidRDefault="00B901B4" w:rsidP="00474997">
      <w:pPr>
        <w:jc w:val="both"/>
        <w:rPr>
          <w:rFonts w:ascii="Arial" w:hAnsi="Arial" w:cs="Arial"/>
          <w:sz w:val="28"/>
          <w:szCs w:val="28"/>
          <w:lang w:eastAsia="en-GB"/>
        </w:rPr>
      </w:pPr>
      <w:r w:rsidRPr="00B901B4">
        <w:rPr>
          <w:rFonts w:ascii="Arial" w:hAnsi="Arial" w:cs="Arial"/>
          <w:sz w:val="28"/>
          <w:szCs w:val="28"/>
          <w:lang w:eastAsia="en-GB"/>
        </w:rPr>
        <w:t xml:space="preserve">In documenting this journey, I have </w:t>
      </w:r>
      <w:r w:rsidR="00474997" w:rsidRPr="00474997">
        <w:rPr>
          <w:rFonts w:ascii="Arial" w:hAnsi="Arial" w:cs="Arial"/>
          <w:sz w:val="28"/>
          <w:szCs w:val="28"/>
        </w:rPr>
        <w:t>endeavoured</w:t>
      </w:r>
      <w:r w:rsidRPr="00B901B4">
        <w:rPr>
          <w:rFonts w:ascii="Arial" w:hAnsi="Arial" w:cs="Arial"/>
          <w:sz w:val="28"/>
          <w:szCs w:val="28"/>
          <w:lang w:eastAsia="en-GB"/>
        </w:rPr>
        <w:t xml:space="preserve"> to maintain the highest standards of academic integrity, ensuring that all sources of knowledge and inspiration are duly acknowledged. This commitment to integrity extends beyond the realm of academic requirements, reflecting a deeper ethical principle that guides the conduct of information security professionals in their professional </w:t>
      </w:r>
      <w:r w:rsidR="00474997" w:rsidRPr="00474997">
        <w:rPr>
          <w:rFonts w:ascii="Arial" w:hAnsi="Arial" w:cs="Arial"/>
          <w:sz w:val="28"/>
          <w:szCs w:val="28"/>
        </w:rPr>
        <w:t>endeavours</w:t>
      </w:r>
      <w:r w:rsidRPr="00B901B4">
        <w:rPr>
          <w:rFonts w:ascii="Arial" w:hAnsi="Arial" w:cs="Arial"/>
          <w:sz w:val="28"/>
          <w:szCs w:val="28"/>
          <w:lang w:eastAsia="en-GB"/>
        </w:rPr>
        <w:t>.</w:t>
      </w:r>
    </w:p>
    <w:p w14:paraId="70B0A5CD" w14:textId="77777777" w:rsidR="00474997" w:rsidRDefault="00474997" w:rsidP="00474997">
      <w:pPr>
        <w:jc w:val="both"/>
        <w:rPr>
          <w:rFonts w:ascii="Arial" w:hAnsi="Arial" w:cs="Arial"/>
          <w:sz w:val="28"/>
          <w:szCs w:val="28"/>
          <w:lang w:eastAsia="en-GB"/>
        </w:rPr>
      </w:pPr>
    </w:p>
    <w:p w14:paraId="74BBDC1C" w14:textId="1C5BF541" w:rsidR="00474997" w:rsidRPr="00B901B4" w:rsidRDefault="00474997" w:rsidP="00474997">
      <w:pPr>
        <w:pStyle w:val="Heading1"/>
        <w:rPr>
          <w:lang w:eastAsia="en-GB"/>
        </w:rPr>
      </w:pPr>
      <w:bookmarkStart w:id="7" w:name="_Toc161077738"/>
      <w:r>
        <w:rPr>
          <w:lang w:eastAsia="en-GB"/>
        </w:rPr>
        <w:t>Conclusion</w:t>
      </w:r>
      <w:bookmarkEnd w:id="7"/>
    </w:p>
    <w:p w14:paraId="7A3FF5F1" w14:textId="77777777" w:rsidR="00B901B4" w:rsidRPr="00B901B4" w:rsidRDefault="00B901B4" w:rsidP="00474997">
      <w:pPr>
        <w:jc w:val="both"/>
        <w:rPr>
          <w:rFonts w:ascii="Arial" w:hAnsi="Arial" w:cs="Arial"/>
          <w:sz w:val="28"/>
          <w:szCs w:val="28"/>
          <w:lang w:eastAsia="en-GB"/>
        </w:rPr>
      </w:pPr>
      <w:r w:rsidRPr="00B901B4">
        <w:rPr>
          <w:rFonts w:ascii="Arial" w:hAnsi="Arial" w:cs="Arial"/>
          <w:sz w:val="28"/>
          <w:szCs w:val="28"/>
          <w:lang w:eastAsia="en-GB"/>
        </w:rPr>
        <w:t>In conclusion, this reflective journey through the module has not only equipped me with valuable skills and insights but also instilled a deep appreciation for the ethical, legal, and social responsibilities that come with the territory of information security. As I move forward, I carry with me the lessons learned, ready to apply them in a world increasingly dependent on the secure and ethical management of information.</w:t>
      </w:r>
    </w:p>
    <w:p w14:paraId="02CB1CE2" w14:textId="77777777" w:rsidR="00B901B4" w:rsidRPr="00474997" w:rsidRDefault="00B901B4" w:rsidP="00474997">
      <w:pPr>
        <w:pStyle w:val="Heading1"/>
      </w:pPr>
      <w:bookmarkStart w:id="8" w:name="_Toc161077739"/>
      <w:r w:rsidRPr="00474997">
        <w:lastRenderedPageBreak/>
        <w:t>References</w:t>
      </w:r>
      <w:bookmarkEnd w:id="8"/>
    </w:p>
    <w:p w14:paraId="451FC72B" w14:textId="77777777" w:rsidR="00B901B4" w:rsidRPr="00474997" w:rsidRDefault="00B901B4" w:rsidP="00474997">
      <w:pPr>
        <w:pStyle w:val="ListParagraph"/>
        <w:numPr>
          <w:ilvl w:val="0"/>
          <w:numId w:val="6"/>
        </w:numPr>
        <w:rPr>
          <w:rFonts w:ascii="Arial" w:hAnsi="Arial" w:cs="Arial"/>
          <w:sz w:val="28"/>
          <w:szCs w:val="28"/>
          <w:lang w:eastAsia="en-GB"/>
        </w:rPr>
      </w:pPr>
      <w:r w:rsidRPr="00474997">
        <w:rPr>
          <w:rFonts w:ascii="Arial" w:hAnsi="Arial" w:cs="Arial"/>
          <w:sz w:val="28"/>
          <w:szCs w:val="28"/>
          <w:lang w:eastAsia="en-GB"/>
        </w:rPr>
        <w:t>OWASP. (2023). The OWASP Top 10 Web Application Security Risks. https://owasp.org/www-project-top-ten/</w:t>
      </w:r>
    </w:p>
    <w:p w14:paraId="6F2897E2" w14:textId="77777777" w:rsidR="00B901B4" w:rsidRPr="00474997" w:rsidRDefault="00B901B4" w:rsidP="00474997">
      <w:pPr>
        <w:pStyle w:val="ListParagraph"/>
        <w:numPr>
          <w:ilvl w:val="0"/>
          <w:numId w:val="6"/>
        </w:numPr>
        <w:rPr>
          <w:rFonts w:ascii="Arial" w:hAnsi="Arial" w:cs="Arial"/>
          <w:sz w:val="28"/>
          <w:szCs w:val="28"/>
          <w:lang w:eastAsia="en-GB"/>
        </w:rPr>
      </w:pPr>
      <w:proofErr w:type="spellStart"/>
      <w:r w:rsidRPr="00474997">
        <w:rPr>
          <w:rFonts w:ascii="Arial" w:hAnsi="Arial" w:cs="Arial"/>
          <w:sz w:val="28"/>
          <w:szCs w:val="28"/>
          <w:lang w:eastAsia="en-GB"/>
        </w:rPr>
        <w:t>Stuttard</w:t>
      </w:r>
      <w:proofErr w:type="spellEnd"/>
      <w:r w:rsidRPr="00474997">
        <w:rPr>
          <w:rFonts w:ascii="Arial" w:hAnsi="Arial" w:cs="Arial"/>
          <w:sz w:val="28"/>
          <w:szCs w:val="28"/>
          <w:lang w:eastAsia="en-GB"/>
        </w:rPr>
        <w:t>, D., &amp; Pinto, M. (2021). The Web Application Hacker's Handbook: Finding and Exploiting Security Flaws. John Wiley &amp; Sons.</w:t>
      </w:r>
    </w:p>
    <w:p w14:paraId="0357B317" w14:textId="77777777" w:rsidR="00B901B4" w:rsidRPr="00474997" w:rsidRDefault="00B901B4" w:rsidP="00474997">
      <w:pPr>
        <w:pStyle w:val="ListParagraph"/>
        <w:numPr>
          <w:ilvl w:val="0"/>
          <w:numId w:val="6"/>
        </w:numPr>
        <w:rPr>
          <w:rFonts w:ascii="Arial" w:hAnsi="Arial" w:cs="Arial"/>
          <w:sz w:val="28"/>
          <w:szCs w:val="28"/>
          <w:lang w:eastAsia="en-GB"/>
        </w:rPr>
      </w:pPr>
      <w:proofErr w:type="spellStart"/>
      <w:r w:rsidRPr="00474997">
        <w:rPr>
          <w:rFonts w:ascii="Arial" w:hAnsi="Arial" w:cs="Arial"/>
          <w:sz w:val="28"/>
          <w:szCs w:val="28"/>
          <w:lang w:eastAsia="en-GB"/>
        </w:rPr>
        <w:t>Hadnagy</w:t>
      </w:r>
      <w:proofErr w:type="spellEnd"/>
      <w:r w:rsidRPr="00474997">
        <w:rPr>
          <w:rFonts w:ascii="Arial" w:hAnsi="Arial" w:cs="Arial"/>
          <w:sz w:val="28"/>
          <w:szCs w:val="28"/>
          <w:lang w:eastAsia="en-GB"/>
        </w:rPr>
        <w:t>, C. (2018). Social Engineering: The Science of Human Hacking. Wiley.</w:t>
      </w:r>
    </w:p>
    <w:p w14:paraId="567E21BE" w14:textId="77777777" w:rsidR="00B901B4" w:rsidRPr="00474997" w:rsidRDefault="00B901B4" w:rsidP="00474997">
      <w:pPr>
        <w:pStyle w:val="ListParagraph"/>
        <w:numPr>
          <w:ilvl w:val="0"/>
          <w:numId w:val="6"/>
        </w:numPr>
        <w:rPr>
          <w:rFonts w:ascii="Arial" w:hAnsi="Arial" w:cs="Arial"/>
          <w:sz w:val="28"/>
          <w:szCs w:val="28"/>
          <w:lang w:eastAsia="en-GB"/>
        </w:rPr>
      </w:pPr>
      <w:r w:rsidRPr="00474997">
        <w:rPr>
          <w:rFonts w:ascii="Arial" w:hAnsi="Arial" w:cs="Arial"/>
          <w:sz w:val="28"/>
          <w:szCs w:val="28"/>
          <w:lang w:eastAsia="en-GB"/>
        </w:rPr>
        <w:t>Rolfe, G., Freshwater, D., &amp; Jasper, M. (2001). Critical Reflection for Nursing and the Helping Professions: A User's Guide. Palgrave.</w:t>
      </w:r>
    </w:p>
    <w:p w14:paraId="11051BBC" w14:textId="77777777" w:rsidR="00004A8A" w:rsidRPr="00474997" w:rsidRDefault="00004A8A">
      <w:pPr>
        <w:rPr>
          <w:rFonts w:ascii="Arial" w:hAnsi="Arial" w:cs="Arial"/>
          <w:sz w:val="28"/>
          <w:szCs w:val="28"/>
        </w:rPr>
      </w:pPr>
    </w:p>
    <w:sectPr w:rsidR="00004A8A" w:rsidRPr="0047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BE3"/>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C3A20"/>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85CDD"/>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95A91"/>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41488"/>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C349F"/>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872851">
    <w:abstractNumId w:val="0"/>
  </w:num>
  <w:num w:numId="2" w16cid:durableId="1780029699">
    <w:abstractNumId w:val="5"/>
  </w:num>
  <w:num w:numId="3" w16cid:durableId="1061752532">
    <w:abstractNumId w:val="3"/>
  </w:num>
  <w:num w:numId="4" w16cid:durableId="1123764622">
    <w:abstractNumId w:val="2"/>
  </w:num>
  <w:num w:numId="5" w16cid:durableId="1701004255">
    <w:abstractNumId w:val="1"/>
  </w:num>
  <w:num w:numId="6" w16cid:durableId="2114785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B4"/>
    <w:rsid w:val="00004A8A"/>
    <w:rsid w:val="00357792"/>
    <w:rsid w:val="00456F70"/>
    <w:rsid w:val="00474997"/>
    <w:rsid w:val="005B787C"/>
    <w:rsid w:val="007C5749"/>
    <w:rsid w:val="007F4B54"/>
    <w:rsid w:val="008A299A"/>
    <w:rsid w:val="00AA53F8"/>
    <w:rsid w:val="00B67299"/>
    <w:rsid w:val="00B901B4"/>
    <w:rsid w:val="00D16766"/>
    <w:rsid w:val="00FF74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2F34CC7"/>
  <w15:chartTrackingRefBased/>
  <w15:docId w15:val="{BCD37FDF-7E5D-584B-BC33-B3A9D831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1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1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1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1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1B4"/>
    <w:rPr>
      <w:rFonts w:eastAsiaTheme="majorEastAsia" w:cstheme="majorBidi"/>
      <w:color w:val="272727" w:themeColor="text1" w:themeTint="D8"/>
    </w:rPr>
  </w:style>
  <w:style w:type="paragraph" w:styleId="Title">
    <w:name w:val="Title"/>
    <w:basedOn w:val="Normal"/>
    <w:next w:val="Normal"/>
    <w:link w:val="TitleChar"/>
    <w:uiPriority w:val="10"/>
    <w:qFormat/>
    <w:rsid w:val="00B901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1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1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01B4"/>
    <w:rPr>
      <w:i/>
      <w:iCs/>
      <w:color w:val="404040" w:themeColor="text1" w:themeTint="BF"/>
    </w:rPr>
  </w:style>
  <w:style w:type="paragraph" w:styleId="ListParagraph">
    <w:name w:val="List Paragraph"/>
    <w:basedOn w:val="Normal"/>
    <w:uiPriority w:val="34"/>
    <w:qFormat/>
    <w:rsid w:val="00B901B4"/>
    <w:pPr>
      <w:ind w:left="720"/>
      <w:contextualSpacing/>
    </w:pPr>
  </w:style>
  <w:style w:type="character" w:styleId="IntenseEmphasis">
    <w:name w:val="Intense Emphasis"/>
    <w:basedOn w:val="DefaultParagraphFont"/>
    <w:uiPriority w:val="21"/>
    <w:qFormat/>
    <w:rsid w:val="00B901B4"/>
    <w:rPr>
      <w:i/>
      <w:iCs/>
      <w:color w:val="0F4761" w:themeColor="accent1" w:themeShade="BF"/>
    </w:rPr>
  </w:style>
  <w:style w:type="paragraph" w:styleId="IntenseQuote">
    <w:name w:val="Intense Quote"/>
    <w:basedOn w:val="Normal"/>
    <w:next w:val="Normal"/>
    <w:link w:val="IntenseQuoteChar"/>
    <w:uiPriority w:val="30"/>
    <w:qFormat/>
    <w:rsid w:val="00B90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1B4"/>
    <w:rPr>
      <w:i/>
      <w:iCs/>
      <w:color w:val="0F4761" w:themeColor="accent1" w:themeShade="BF"/>
    </w:rPr>
  </w:style>
  <w:style w:type="character" w:styleId="IntenseReference">
    <w:name w:val="Intense Reference"/>
    <w:basedOn w:val="DefaultParagraphFont"/>
    <w:uiPriority w:val="32"/>
    <w:qFormat/>
    <w:rsid w:val="00B901B4"/>
    <w:rPr>
      <w:b/>
      <w:bCs/>
      <w:smallCaps/>
      <w:color w:val="0F4761" w:themeColor="accent1" w:themeShade="BF"/>
      <w:spacing w:val="5"/>
    </w:rPr>
  </w:style>
  <w:style w:type="paragraph" w:styleId="NormalWeb">
    <w:name w:val="Normal (Web)"/>
    <w:basedOn w:val="Normal"/>
    <w:uiPriority w:val="99"/>
    <w:semiHidden/>
    <w:unhideWhenUsed/>
    <w:rsid w:val="00B901B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901B4"/>
    <w:rPr>
      <w:b/>
      <w:bCs/>
    </w:rPr>
  </w:style>
  <w:style w:type="character" w:styleId="Emphasis">
    <w:name w:val="Emphasis"/>
    <w:basedOn w:val="DefaultParagraphFont"/>
    <w:uiPriority w:val="20"/>
    <w:qFormat/>
    <w:rsid w:val="00B901B4"/>
    <w:rPr>
      <w:i/>
      <w:iCs/>
    </w:rPr>
  </w:style>
  <w:style w:type="paragraph" w:styleId="TOCHeading">
    <w:name w:val="TOC Heading"/>
    <w:basedOn w:val="Heading1"/>
    <w:next w:val="Normal"/>
    <w:uiPriority w:val="39"/>
    <w:unhideWhenUsed/>
    <w:qFormat/>
    <w:rsid w:val="0047499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74997"/>
    <w:pPr>
      <w:spacing w:before="120"/>
    </w:pPr>
    <w:rPr>
      <w:b/>
      <w:bCs/>
      <w:i/>
      <w:iCs/>
    </w:rPr>
  </w:style>
  <w:style w:type="character" w:styleId="Hyperlink">
    <w:name w:val="Hyperlink"/>
    <w:basedOn w:val="DefaultParagraphFont"/>
    <w:uiPriority w:val="99"/>
    <w:unhideWhenUsed/>
    <w:rsid w:val="00474997"/>
    <w:rPr>
      <w:color w:val="467886" w:themeColor="hyperlink"/>
      <w:u w:val="single"/>
    </w:rPr>
  </w:style>
  <w:style w:type="paragraph" w:styleId="TOC2">
    <w:name w:val="toc 2"/>
    <w:basedOn w:val="Normal"/>
    <w:next w:val="Normal"/>
    <w:autoRedefine/>
    <w:uiPriority w:val="39"/>
    <w:semiHidden/>
    <w:unhideWhenUsed/>
    <w:rsid w:val="00474997"/>
    <w:pPr>
      <w:spacing w:before="120"/>
      <w:ind w:left="240"/>
    </w:pPr>
    <w:rPr>
      <w:b/>
      <w:bCs/>
      <w:sz w:val="22"/>
      <w:szCs w:val="22"/>
    </w:rPr>
  </w:style>
  <w:style w:type="paragraph" w:styleId="TOC3">
    <w:name w:val="toc 3"/>
    <w:basedOn w:val="Normal"/>
    <w:next w:val="Normal"/>
    <w:autoRedefine/>
    <w:uiPriority w:val="39"/>
    <w:semiHidden/>
    <w:unhideWhenUsed/>
    <w:rsid w:val="00474997"/>
    <w:pPr>
      <w:ind w:left="480"/>
    </w:pPr>
    <w:rPr>
      <w:sz w:val="20"/>
      <w:szCs w:val="20"/>
    </w:rPr>
  </w:style>
  <w:style w:type="paragraph" w:styleId="TOC4">
    <w:name w:val="toc 4"/>
    <w:basedOn w:val="Normal"/>
    <w:next w:val="Normal"/>
    <w:autoRedefine/>
    <w:uiPriority w:val="39"/>
    <w:semiHidden/>
    <w:unhideWhenUsed/>
    <w:rsid w:val="00474997"/>
    <w:pPr>
      <w:ind w:left="720"/>
    </w:pPr>
    <w:rPr>
      <w:sz w:val="20"/>
      <w:szCs w:val="20"/>
    </w:rPr>
  </w:style>
  <w:style w:type="paragraph" w:styleId="TOC5">
    <w:name w:val="toc 5"/>
    <w:basedOn w:val="Normal"/>
    <w:next w:val="Normal"/>
    <w:autoRedefine/>
    <w:uiPriority w:val="39"/>
    <w:semiHidden/>
    <w:unhideWhenUsed/>
    <w:rsid w:val="00474997"/>
    <w:pPr>
      <w:ind w:left="960"/>
    </w:pPr>
    <w:rPr>
      <w:sz w:val="20"/>
      <w:szCs w:val="20"/>
    </w:rPr>
  </w:style>
  <w:style w:type="paragraph" w:styleId="TOC6">
    <w:name w:val="toc 6"/>
    <w:basedOn w:val="Normal"/>
    <w:next w:val="Normal"/>
    <w:autoRedefine/>
    <w:uiPriority w:val="39"/>
    <w:semiHidden/>
    <w:unhideWhenUsed/>
    <w:rsid w:val="00474997"/>
    <w:pPr>
      <w:ind w:left="1200"/>
    </w:pPr>
    <w:rPr>
      <w:sz w:val="20"/>
      <w:szCs w:val="20"/>
    </w:rPr>
  </w:style>
  <w:style w:type="paragraph" w:styleId="TOC7">
    <w:name w:val="toc 7"/>
    <w:basedOn w:val="Normal"/>
    <w:next w:val="Normal"/>
    <w:autoRedefine/>
    <w:uiPriority w:val="39"/>
    <w:semiHidden/>
    <w:unhideWhenUsed/>
    <w:rsid w:val="00474997"/>
    <w:pPr>
      <w:ind w:left="1440"/>
    </w:pPr>
    <w:rPr>
      <w:sz w:val="20"/>
      <w:szCs w:val="20"/>
    </w:rPr>
  </w:style>
  <w:style w:type="paragraph" w:styleId="TOC8">
    <w:name w:val="toc 8"/>
    <w:basedOn w:val="Normal"/>
    <w:next w:val="Normal"/>
    <w:autoRedefine/>
    <w:uiPriority w:val="39"/>
    <w:semiHidden/>
    <w:unhideWhenUsed/>
    <w:rsid w:val="00474997"/>
    <w:pPr>
      <w:ind w:left="1680"/>
    </w:pPr>
    <w:rPr>
      <w:sz w:val="20"/>
      <w:szCs w:val="20"/>
    </w:rPr>
  </w:style>
  <w:style w:type="paragraph" w:styleId="TOC9">
    <w:name w:val="toc 9"/>
    <w:basedOn w:val="Normal"/>
    <w:next w:val="Normal"/>
    <w:autoRedefine/>
    <w:uiPriority w:val="39"/>
    <w:semiHidden/>
    <w:unhideWhenUsed/>
    <w:rsid w:val="00474997"/>
    <w:pPr>
      <w:ind w:left="1920"/>
    </w:pPr>
    <w:rPr>
      <w:sz w:val="20"/>
      <w:szCs w:val="20"/>
    </w:rPr>
  </w:style>
  <w:style w:type="paragraph" w:styleId="NoSpacing">
    <w:name w:val="No Spacing"/>
    <w:uiPriority w:val="1"/>
    <w:qFormat/>
    <w:rsid w:val="00AA53F8"/>
  </w:style>
  <w:style w:type="character" w:styleId="UnresolvedMention">
    <w:name w:val="Unresolved Mention"/>
    <w:basedOn w:val="DefaultParagraphFont"/>
    <w:uiPriority w:val="99"/>
    <w:semiHidden/>
    <w:unhideWhenUsed/>
    <w:rsid w:val="00456F70"/>
    <w:rPr>
      <w:color w:val="605E5C"/>
      <w:shd w:val="clear" w:color="auto" w:fill="E1DFDD"/>
    </w:rPr>
  </w:style>
  <w:style w:type="character" w:styleId="FollowedHyperlink">
    <w:name w:val="FollowedHyperlink"/>
    <w:basedOn w:val="DefaultParagraphFont"/>
    <w:uiPriority w:val="99"/>
    <w:semiHidden/>
    <w:unhideWhenUsed/>
    <w:rsid w:val="00456F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68885">
      <w:bodyDiv w:val="1"/>
      <w:marLeft w:val="0"/>
      <w:marRight w:val="0"/>
      <w:marTop w:val="0"/>
      <w:marBottom w:val="0"/>
      <w:divBdr>
        <w:top w:val="none" w:sz="0" w:space="0" w:color="auto"/>
        <w:left w:val="none" w:sz="0" w:space="0" w:color="auto"/>
        <w:bottom w:val="none" w:sz="0" w:space="0" w:color="auto"/>
        <w:right w:val="none" w:sz="0" w:space="0" w:color="auto"/>
      </w:divBdr>
    </w:div>
    <w:div w:id="1965575738">
      <w:bodyDiv w:val="1"/>
      <w:marLeft w:val="0"/>
      <w:marRight w:val="0"/>
      <w:marTop w:val="0"/>
      <w:marBottom w:val="0"/>
      <w:divBdr>
        <w:top w:val="none" w:sz="0" w:space="0" w:color="auto"/>
        <w:left w:val="none" w:sz="0" w:space="0" w:color="auto"/>
        <w:bottom w:val="none" w:sz="0" w:space="0" w:color="auto"/>
        <w:right w:val="none" w:sz="0" w:space="0" w:color="auto"/>
      </w:divBdr>
    </w:div>
    <w:div w:id="21128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Nasser/Network-Secu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87A1A-4FBA-BD44-A12B-ACB87F7C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Al-Naimi, Nasser</cp:lastModifiedBy>
  <cp:revision>4</cp:revision>
  <cp:lastPrinted>2024-03-11T19:30:00Z</cp:lastPrinted>
  <dcterms:created xsi:type="dcterms:W3CDTF">2024-03-11T19:30:00Z</dcterms:created>
  <dcterms:modified xsi:type="dcterms:W3CDTF">2024-03-11T19:39:00Z</dcterms:modified>
</cp:coreProperties>
</file>