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6"/>
        </w:rPr>
        <w:t>NEO-CEBU 2026:</w:t>
        <w:br/>
        <w:t>A SECURITY FRAMEWORK FOR THE FINANCE SECTOR</w:t>
      </w:r>
    </w:p>
    <w:p/>
    <w:p>
      <w:pPr>
        <w:jc w:val="center"/>
      </w:pPr>
      <w:r>
        <w:rPr>
          <w:rFonts w:ascii="Times New Roman" w:hAnsi="Times New Roman"/>
          <w:i/>
          <w:sz w:val="28"/>
        </w:rPr>
        <w:t>Digital Currency &amp; Automated Trading Platforms</w:t>
      </w:r>
    </w:p>
    <w:p/>
    <w:p/>
    <w:p>
      <w:pPr>
        <w:jc w:val="center"/>
      </w:pPr>
      <w:r>
        <w:rPr>
          <w:rFonts w:ascii="Times New Roman" w:hAnsi="Times New Roman"/>
          <w:sz w:val="24"/>
        </w:rPr>
        <w:t>Final Project — Information Assurance and Security</w:t>
      </w:r>
    </w:p>
    <w:p>
      <w:pPr>
        <w:jc w:val="center"/>
      </w:pPr>
      <w:r>
        <w:rPr>
          <w:rFonts w:ascii="Times New Roman" w:hAnsi="Times New Roman"/>
          <w:sz w:val="24"/>
        </w:rPr>
      </w:r>
    </w:p>
    <w:p>
      <w:pPr>
        <w:jc w:val="center"/>
      </w:pPr>
      <w:r>
        <w:rPr>
          <w:rFonts w:ascii="Times New Roman" w:hAnsi="Times New Roman"/>
          <w:sz w:val="24"/>
        </w:rPr>
        <w:t>Group 2 — Finance Sector</w:t>
      </w:r>
    </w:p>
    <w:p>
      <w:pPr>
        <w:jc w:val="center"/>
      </w:pPr>
      <w:r>
        <w:rPr>
          <w:rFonts w:ascii="Times New Roman" w:hAnsi="Times New Roman"/>
          <w:sz w:val="24"/>
        </w:rPr>
      </w:r>
    </w:p>
    <w:p>
      <w:pPr>
        <w:jc w:val="center"/>
      </w:pPr>
      <w:r>
        <w:rPr>
          <w:rFonts w:ascii="Times New Roman" w:hAnsi="Times New Roman"/>
          <w:sz w:val="24"/>
        </w:rPr>
        <w:t>ABARQUEZ, Mary Grace S.</w:t>
      </w:r>
    </w:p>
    <w:p>
      <w:pPr>
        <w:jc w:val="center"/>
      </w:pPr>
      <w:r>
        <w:rPr>
          <w:rFonts w:ascii="Times New Roman" w:hAnsi="Times New Roman"/>
          <w:sz w:val="24"/>
        </w:rPr>
        <w:t>HERMOSO, Jerimy P.</w:t>
      </w:r>
    </w:p>
    <w:p>
      <w:pPr>
        <w:jc w:val="center"/>
      </w:pPr>
      <w:r>
        <w:rPr>
          <w:rFonts w:ascii="Times New Roman" w:hAnsi="Times New Roman"/>
          <w:sz w:val="24"/>
        </w:rPr>
        <w:t>TOMABINI, Ashlee Shandi N.</w:t>
      </w:r>
    </w:p>
    <w:p>
      <w:pPr>
        <w:jc w:val="center"/>
      </w:pPr>
      <w:r>
        <w:rPr>
          <w:rFonts w:ascii="Times New Roman" w:hAnsi="Times New Roman"/>
          <w:sz w:val="24"/>
        </w:rPr>
        <w:t>ALINGHAWA, Mike S.</w:t>
      </w:r>
    </w:p>
    <w:p>
      <w:pPr>
        <w:jc w:val="center"/>
      </w:pPr>
      <w:r>
        <w:rPr>
          <w:rFonts w:ascii="Times New Roman" w:hAnsi="Times New Roman"/>
          <w:sz w:val="24"/>
        </w:rPr>
      </w:r>
    </w:p>
    <w:p>
      <w:pPr>
        <w:jc w:val="center"/>
      </w:pPr>
      <w:r>
        <w:rPr>
          <w:rFonts w:ascii="Times New Roman" w:hAnsi="Times New Roman"/>
          <w:sz w:val="24"/>
        </w:rPr>
        <w:t>April 2026</w:t>
      </w:r>
    </w:p>
    <w:p>
      <w:r>
        <w:br w:type="page"/>
      </w:r>
    </w:p>
    <w:p>
      <w:pPr>
        <w:pStyle w:val="Heading1"/>
      </w:pPr>
      <w:r>
        <w:rPr>
          <w:rFonts w:ascii="Times New Roman" w:hAnsi="Times New Roman" w:eastAsia="Times New Roman"/>
          <w:color w:val="000000"/>
        </w:rPr>
        <w:t>Table of Contents</w:t>
      </w:r>
    </w:p>
    <w:p>
      <w:pPr>
        <w:spacing w:line="360" w:lineRule="auto"/>
      </w:pPr>
      <w:r>
        <w:rPr>
          <w:rFonts w:ascii="Times New Roman" w:hAnsi="Times New Roman"/>
          <w:sz w:val="24"/>
        </w:rPr>
        <w:t>Chapter I: Introduction and Problem Landscape ....................... 3</w:t>
      </w:r>
    </w:p>
    <w:p>
      <w:pPr>
        <w:spacing w:line="360" w:lineRule="auto"/>
      </w:pPr>
      <w:r>
        <w:rPr>
          <w:rFonts w:ascii="Times New Roman" w:hAnsi="Times New Roman"/>
          <w:sz w:val="24"/>
        </w:rPr>
        <w:t xml:space="preserve">    1.1 Neo-Cebu's Financial Landscape</w:t>
      </w:r>
    </w:p>
    <w:p>
      <w:pPr>
        <w:spacing w:line="360" w:lineRule="auto"/>
      </w:pPr>
      <w:r>
        <w:rPr>
          <w:rFonts w:ascii="Times New Roman" w:hAnsi="Times New Roman"/>
          <w:sz w:val="24"/>
        </w:rPr>
        <w:t xml:space="preserve">    1.2 The Hydra-Pulse Threat Framework</w:t>
      </w:r>
    </w:p>
    <w:p>
      <w:pPr>
        <w:spacing w:line="360" w:lineRule="auto"/>
      </w:pPr>
      <w:r>
        <w:rPr>
          <w:rFonts w:ascii="Times New Roman" w:hAnsi="Times New Roman"/>
          <w:sz w:val="24"/>
        </w:rPr>
        <w:t xml:space="preserve">    1.3 Statement of the Problem</w:t>
      </w:r>
    </w:p>
    <w:p>
      <w:pPr>
        <w:spacing w:line="360" w:lineRule="auto"/>
      </w:pPr>
      <w:r>
        <w:rPr>
          <w:rFonts w:ascii="Times New Roman" w:hAnsi="Times New Roman"/>
          <w:sz w:val="24"/>
        </w:rPr>
        <w:t>Chapter II: Attack Surface Mapping .................................. 6</w:t>
      </w:r>
    </w:p>
    <w:p>
      <w:pPr>
        <w:spacing w:line="360" w:lineRule="auto"/>
      </w:pPr>
      <w:r>
        <w:rPr>
          <w:rFonts w:ascii="Times New Roman" w:hAnsi="Times New Roman"/>
          <w:sz w:val="24"/>
        </w:rPr>
        <w:t xml:space="preserve">    2.1 Hardware Vulnerabilities</w:t>
      </w:r>
    </w:p>
    <w:p>
      <w:pPr>
        <w:spacing w:line="360" w:lineRule="auto"/>
      </w:pPr>
      <w:r>
        <w:rPr>
          <w:rFonts w:ascii="Times New Roman" w:hAnsi="Times New Roman"/>
          <w:sz w:val="24"/>
        </w:rPr>
        <w:t xml:space="preserve">    2.2 Software Vulnerabilities</w:t>
      </w:r>
    </w:p>
    <w:p>
      <w:pPr>
        <w:spacing w:line="360" w:lineRule="auto"/>
      </w:pPr>
      <w:r>
        <w:rPr>
          <w:rFonts w:ascii="Times New Roman" w:hAnsi="Times New Roman"/>
          <w:sz w:val="24"/>
        </w:rPr>
        <w:t xml:space="preserve">    2.3 Human Factor Vulnerabilities</w:t>
      </w:r>
    </w:p>
    <w:p>
      <w:pPr>
        <w:spacing w:line="360" w:lineRule="auto"/>
      </w:pPr>
      <w:r>
        <w:rPr>
          <w:rFonts w:ascii="Times New Roman" w:hAnsi="Times New Roman"/>
          <w:sz w:val="24"/>
        </w:rPr>
        <w:t>Chapter III: Proposed Innovative Solution — Project TitanVault ...... 9</w:t>
      </w:r>
    </w:p>
    <w:p>
      <w:pPr>
        <w:spacing w:line="360" w:lineRule="auto"/>
      </w:pPr>
      <w:r>
        <w:rPr>
          <w:rFonts w:ascii="Times New Roman" w:hAnsi="Times New Roman"/>
          <w:sz w:val="24"/>
        </w:rPr>
        <w:t xml:space="preserve">    3.1 Pillar I: Post-Quantum Cryptography (PQC)</w:t>
      </w:r>
    </w:p>
    <w:p>
      <w:pPr>
        <w:spacing w:line="360" w:lineRule="auto"/>
      </w:pPr>
      <w:r>
        <w:rPr>
          <w:rFonts w:ascii="Times New Roman" w:hAnsi="Times New Roman"/>
          <w:sz w:val="24"/>
        </w:rPr>
        <w:t xml:space="preserve">    3.2 Pillar II: Zero Trust Architecture (ZTA)</w:t>
      </w:r>
    </w:p>
    <w:p>
      <w:pPr>
        <w:spacing w:line="360" w:lineRule="auto"/>
      </w:pPr>
      <w:r>
        <w:rPr>
          <w:rFonts w:ascii="Times New Roman" w:hAnsi="Times New Roman"/>
          <w:sz w:val="24"/>
        </w:rPr>
        <w:t xml:space="preserve">    3.3 Pillar III: AI-Powered Threat Detection (Sentinel AI)</w:t>
      </w:r>
    </w:p>
    <w:p>
      <w:pPr>
        <w:spacing w:line="360" w:lineRule="auto"/>
      </w:pPr>
      <w:r>
        <w:rPr>
          <w:rFonts w:ascii="Times New Roman" w:hAnsi="Times New Roman"/>
          <w:sz w:val="24"/>
        </w:rPr>
        <w:t>Chapter IV: Implementation Roadmap ................................. 13</w:t>
      </w:r>
    </w:p>
    <w:p>
      <w:pPr>
        <w:spacing w:line="360" w:lineRule="auto"/>
      </w:pPr>
      <w:r>
        <w:rPr>
          <w:rFonts w:ascii="Times New Roman" w:hAnsi="Times New Roman"/>
          <w:sz w:val="24"/>
        </w:rPr>
        <w:t xml:space="preserve">    4.1 Phase 1: Preparation (Months 1–3)</w:t>
      </w:r>
    </w:p>
    <w:p>
      <w:pPr>
        <w:spacing w:line="360" w:lineRule="auto"/>
      </w:pPr>
      <w:r>
        <w:rPr>
          <w:rFonts w:ascii="Times New Roman" w:hAnsi="Times New Roman"/>
          <w:sz w:val="24"/>
        </w:rPr>
        <w:t xml:space="preserve">    4.2 Phase 2: Layer-by-Layer Deployment (Months 4–8)</w:t>
      </w:r>
    </w:p>
    <w:p>
      <w:pPr>
        <w:spacing w:line="360" w:lineRule="auto"/>
      </w:pPr>
      <w:r>
        <w:rPr>
          <w:rFonts w:ascii="Times New Roman" w:hAnsi="Times New Roman"/>
          <w:sz w:val="24"/>
        </w:rPr>
        <w:t xml:space="preserve">    4.3 Phase 3: Full Migration and Testing (Months 9–12)</w:t>
      </w:r>
    </w:p>
    <w:p>
      <w:pPr>
        <w:spacing w:line="360" w:lineRule="auto"/>
      </w:pPr>
      <w:r>
        <w:rPr>
          <w:rFonts w:ascii="Times New Roman" w:hAnsi="Times New Roman"/>
          <w:sz w:val="24"/>
        </w:rPr>
        <w:t>Chapter V: Risk Assessment and CIA Triad Compliance ................ 16</w:t>
      </w:r>
    </w:p>
    <w:p>
      <w:pPr>
        <w:spacing w:line="360" w:lineRule="auto"/>
      </w:pPr>
      <w:r>
        <w:rPr>
          <w:rFonts w:ascii="Times New Roman" w:hAnsi="Times New Roman"/>
          <w:sz w:val="24"/>
        </w:rPr>
        <w:t xml:space="preserve">    5.1 Confidentiality</w:t>
      </w:r>
    </w:p>
    <w:p>
      <w:pPr>
        <w:spacing w:line="360" w:lineRule="auto"/>
      </w:pPr>
      <w:r>
        <w:rPr>
          <w:rFonts w:ascii="Times New Roman" w:hAnsi="Times New Roman"/>
          <w:sz w:val="24"/>
        </w:rPr>
        <w:t xml:space="preserve">    5.2 Integrity</w:t>
      </w:r>
    </w:p>
    <w:p>
      <w:pPr>
        <w:spacing w:line="360" w:lineRule="auto"/>
      </w:pPr>
      <w:r>
        <w:rPr>
          <w:rFonts w:ascii="Times New Roman" w:hAnsi="Times New Roman"/>
          <w:sz w:val="24"/>
        </w:rPr>
        <w:t xml:space="preserve">    5.3 Availability</w:t>
      </w:r>
    </w:p>
    <w:p>
      <w:pPr>
        <w:spacing w:line="360" w:lineRule="auto"/>
      </w:pPr>
      <w:r>
        <w:rPr>
          <w:rFonts w:ascii="Times New Roman" w:hAnsi="Times New Roman"/>
          <w:sz w:val="24"/>
        </w:rPr>
        <w:t xml:space="preserve">    5.4 Comprehensive Stress Test Results</w:t>
      </w:r>
    </w:p>
    <w:p>
      <w:pPr>
        <w:spacing w:line="360" w:lineRule="auto"/>
      </w:pPr>
      <w:r>
        <w:rPr>
          <w:rFonts w:ascii="Times New Roman" w:hAnsi="Times New Roman"/>
          <w:sz w:val="24"/>
        </w:rPr>
        <w:t>Key Terms Glossary ................................................. 19</w:t>
      </w:r>
    </w:p>
    <w:p>
      <w:pPr>
        <w:spacing w:line="360" w:lineRule="auto"/>
      </w:pPr>
      <w:r>
        <w:rPr>
          <w:rFonts w:ascii="Times New Roman" w:hAnsi="Times New Roman"/>
          <w:sz w:val="24"/>
        </w:rPr>
        <w:t>References ......................................................... 20</w:t>
      </w:r>
    </w:p>
    <w:p>
      <w:r>
        <w:br w:type="page"/>
      </w:r>
    </w:p>
    <w:p>
      <w:pPr>
        <w:pStyle w:val="Heading1"/>
      </w:pPr>
      <w:r>
        <w:rPr>
          <w:rFonts w:ascii="Times New Roman" w:hAnsi="Times New Roman" w:eastAsia="Times New Roman"/>
          <w:color w:val="000000"/>
        </w:rPr>
        <w:t>Chapter I: Introduction and Problem Landscape</w:t>
      </w:r>
    </w:p>
    <w:p>
      <w:pPr>
        <w:pStyle w:val="Heading2"/>
      </w:pPr>
      <w:r>
        <w:rPr>
          <w:rFonts w:ascii="Times New Roman" w:hAnsi="Times New Roman" w:eastAsia="Times New Roman"/>
          <w:color w:val="000000"/>
        </w:rPr>
        <w:t>1.1 Neo-Cebu's Financial Landscape</w:t>
      </w:r>
    </w:p>
    <w:p>
      <w:pPr>
        <w:spacing w:line="360" w:lineRule="auto"/>
        <w:ind w:firstLine="720"/>
      </w:pPr>
      <w:r>
        <w:rPr>
          <w:rFonts w:ascii="Times New Roman" w:hAnsi="Times New Roman"/>
          <w:b w:val="0"/>
          <w:i w:val="0"/>
          <w:sz w:val="24"/>
        </w:rPr>
        <w:t>In the year 2026, Neo-Cebu City has emerged as one of the Philippines' most digitally advanced metropolitan areas. The city has fully embraced digital financial infrastructure, with the majority of its economic transactions flowing through two critical systems: a city-wide digital currency platform and a suite of AI-powered automated trading platforms. These systems serve over two million citizens and process billions of pesos in transactions daily.</w:t>
      </w:r>
    </w:p>
    <w:p>
      <w:pPr>
        <w:spacing w:line="360" w:lineRule="auto"/>
        <w:ind w:firstLine="720"/>
      </w:pPr>
      <w:r>
        <w:rPr>
          <w:rFonts w:ascii="Times New Roman" w:hAnsi="Times New Roman"/>
          <w:b w:val="0"/>
          <w:i w:val="0"/>
          <w:sz w:val="24"/>
        </w:rPr>
        <w:t>The financial ecosystem of Neo-Cebu comprises four interconnected systems, each vital to the city's economic stability:</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System</w:t>
            </w:r>
          </w:p>
        </w:tc>
        <w:tc>
          <w:tcPr>
            <w:tcW w:type="dxa" w:w="3120"/>
          </w:tcPr>
          <w:p>
            <w:r/>
            <w:r>
              <w:rPr>
                <w:rFonts w:ascii="Times New Roman" w:hAnsi="Times New Roman"/>
                <w:b/>
                <w:sz w:val="22"/>
              </w:rPr>
              <w:t>Function</w:t>
            </w:r>
          </w:p>
        </w:tc>
        <w:tc>
          <w:tcPr>
            <w:tcW w:type="dxa" w:w="3120"/>
          </w:tcPr>
          <w:p>
            <w:r/>
            <w:r>
              <w:rPr>
                <w:rFonts w:ascii="Times New Roman" w:hAnsi="Times New Roman"/>
                <w:b/>
                <w:sz w:val="22"/>
              </w:rPr>
              <w:t>Users</w:t>
            </w:r>
          </w:p>
        </w:tc>
      </w:tr>
      <w:tr>
        <w:tc>
          <w:tcPr>
            <w:tcW w:type="dxa" w:w="3120"/>
          </w:tcPr>
          <w:p>
            <w:r/>
            <w:r>
              <w:rPr>
                <w:rFonts w:ascii="Times New Roman" w:hAnsi="Times New Roman"/>
                <w:sz w:val="22"/>
              </w:rPr>
              <w:t>CebuCoin (Digital Currency)</w:t>
            </w:r>
          </w:p>
        </w:tc>
        <w:tc>
          <w:tcPr>
            <w:tcW w:type="dxa" w:w="3120"/>
          </w:tcPr>
          <w:p>
            <w:r/>
            <w:r>
              <w:rPr>
                <w:rFonts w:ascii="Times New Roman" w:hAnsi="Times New Roman"/>
                <w:sz w:val="22"/>
              </w:rPr>
              <w:t>The city's primary digital currency, built on blockchain technology. Functions similarly to existing e-wallet systems but with decentralized transaction verification.</w:t>
            </w:r>
          </w:p>
        </w:tc>
        <w:tc>
          <w:tcPr>
            <w:tcW w:type="dxa" w:w="3120"/>
          </w:tcPr>
          <w:p>
            <w:r/>
            <w:r>
              <w:rPr>
                <w:rFonts w:ascii="Times New Roman" w:hAnsi="Times New Roman"/>
                <w:sz w:val="22"/>
              </w:rPr>
              <w:t>All citizens, businesses, and government offices</w:t>
            </w:r>
          </w:p>
        </w:tc>
      </w:tr>
      <w:tr>
        <w:tc>
          <w:tcPr>
            <w:tcW w:type="dxa" w:w="3120"/>
          </w:tcPr>
          <w:p>
            <w:r/>
            <w:r>
              <w:rPr>
                <w:rFonts w:ascii="Times New Roman" w:hAnsi="Times New Roman"/>
                <w:sz w:val="22"/>
              </w:rPr>
              <w:t>AutoTrade Platform</w:t>
            </w:r>
          </w:p>
        </w:tc>
        <w:tc>
          <w:tcPr>
            <w:tcW w:type="dxa" w:w="3120"/>
          </w:tcPr>
          <w:p>
            <w:r/>
            <w:r>
              <w:rPr>
                <w:rFonts w:ascii="Times New Roman" w:hAnsi="Times New Roman"/>
                <w:sz w:val="22"/>
              </w:rPr>
              <w:t>An AI-powered stock and cryptocurrency trading system capable of executing trades in milliseconds using machine learning algorithms.</w:t>
            </w:r>
          </w:p>
        </w:tc>
        <w:tc>
          <w:tcPr>
            <w:tcW w:type="dxa" w:w="3120"/>
          </w:tcPr>
          <w:p>
            <w:r/>
            <w:r>
              <w:rPr>
                <w:rFonts w:ascii="Times New Roman" w:hAnsi="Times New Roman"/>
                <w:sz w:val="22"/>
              </w:rPr>
              <w:t>Investors, financial institutions, and businesses</w:t>
            </w:r>
          </w:p>
        </w:tc>
      </w:tr>
      <w:tr>
        <w:tc>
          <w:tcPr>
            <w:tcW w:type="dxa" w:w="3120"/>
          </w:tcPr>
          <w:p>
            <w:r/>
            <w:r>
              <w:rPr>
                <w:rFonts w:ascii="Times New Roman" w:hAnsi="Times New Roman"/>
                <w:sz w:val="22"/>
              </w:rPr>
              <w:t>Digital Wallets</w:t>
            </w:r>
          </w:p>
        </w:tc>
        <w:tc>
          <w:tcPr>
            <w:tcW w:type="dxa" w:w="3120"/>
          </w:tcPr>
          <w:p>
            <w:r/>
            <w:r>
              <w:rPr>
                <w:rFonts w:ascii="Times New Roman" w:hAnsi="Times New Roman"/>
                <w:sz w:val="22"/>
              </w:rPr>
              <w:t>Personal digital wallets linked to each citizen's National ID (NeoID), used for storing, sending, and receiving CebuCoin.</w:t>
            </w:r>
          </w:p>
        </w:tc>
        <w:tc>
          <w:tcPr>
            <w:tcW w:type="dxa" w:w="3120"/>
          </w:tcPr>
          <w:p>
            <w:r/>
            <w:r>
              <w:rPr>
                <w:rFonts w:ascii="Times New Roman" w:hAnsi="Times New Roman"/>
                <w:sz w:val="22"/>
              </w:rPr>
              <w:t>Over 2 million registered users</w:t>
            </w:r>
          </w:p>
        </w:tc>
      </w:tr>
      <w:tr>
        <w:tc>
          <w:tcPr>
            <w:tcW w:type="dxa" w:w="3120"/>
          </w:tcPr>
          <w:p>
            <w:r/>
            <w:r>
              <w:rPr>
                <w:rFonts w:ascii="Times New Roman" w:hAnsi="Times New Roman"/>
                <w:sz w:val="22"/>
              </w:rPr>
              <w:t>Smart Contracts</w:t>
            </w:r>
          </w:p>
        </w:tc>
        <w:tc>
          <w:tcPr>
            <w:tcW w:type="dxa" w:w="3120"/>
          </w:tcPr>
          <w:p>
            <w:r/>
            <w:r>
              <w:rPr>
                <w:rFonts w:ascii="Times New Roman" w:hAnsi="Times New Roman"/>
                <w:sz w:val="22"/>
              </w:rPr>
              <w:t>Self-executing blockchain-based contracts that automate financial agreements such as loans, insurance claims, and payroll distribution.</w:t>
            </w:r>
          </w:p>
        </w:tc>
        <w:tc>
          <w:tcPr>
            <w:tcW w:type="dxa" w:w="3120"/>
          </w:tcPr>
          <w:p>
            <w:r/>
            <w:r>
              <w:rPr>
                <w:rFonts w:ascii="Times New Roman" w:hAnsi="Times New Roman"/>
                <w:sz w:val="22"/>
              </w:rPr>
              <w:t>Banks, employers, insurance providers, and government agencies</w:t>
            </w:r>
          </w:p>
        </w:tc>
      </w:tr>
    </w:tbl>
    <w:p/>
    <w:p>
      <w:pPr>
        <w:spacing w:line="360" w:lineRule="auto"/>
        <w:ind w:firstLine="720"/>
      </w:pPr>
      <w:r>
        <w:rPr>
          <w:rFonts w:ascii="Times New Roman" w:hAnsi="Times New Roman"/>
          <w:b w:val="0"/>
          <w:i w:val="0"/>
          <w:sz w:val="24"/>
        </w:rPr>
        <w:t>The interconnected nature of these systems creates both efficiency and risk. A disruption to any single component can cascade throughout the financial ecosystem, potentially affecting the ability of citizens to conduct basic transactions such as purchasing goods, paying bills, or receiving wages.</w:t>
      </w:r>
    </w:p>
    <w:p>
      <w:pPr>
        <w:pStyle w:val="Heading2"/>
      </w:pPr>
      <w:r>
        <w:rPr>
          <w:rFonts w:ascii="Times New Roman" w:hAnsi="Times New Roman" w:eastAsia="Times New Roman"/>
          <w:color w:val="000000"/>
        </w:rPr>
        <w:t>1.2 The Hydra-Pulse Threat Framework</w:t>
      </w:r>
    </w:p>
    <w:p>
      <w:pPr>
        <w:spacing w:line="360" w:lineRule="auto"/>
        <w:ind w:firstLine="720"/>
      </w:pPr>
      <w:r>
        <w:rPr>
          <w:rFonts w:ascii="Times New Roman" w:hAnsi="Times New Roman"/>
          <w:b w:val="0"/>
          <w:i w:val="0"/>
          <w:sz w:val="24"/>
        </w:rPr>
        <w:t>A new generation of cyber threats, collectively designated as "Hydra-Pulse," represents the most significant challenge to Neo-Cebu's financial infrastructure. The term reflects the multi-headed nature of these threats: each attack vector is distinct, yet they often operate in coordination. This paper identifies four primary Hydra-Pulse threat categories targeting the finance sector.</w:t>
      </w:r>
    </w:p>
    <w:p>
      <w:pPr>
        <w:pStyle w:val="Heading3"/>
      </w:pPr>
      <w:r>
        <w:rPr>
          <w:rFonts w:ascii="Times New Roman" w:hAnsi="Times New Roman" w:eastAsia="Times New Roman"/>
          <w:color w:val="000000"/>
        </w:rPr>
        <w:t>1.2.1 AI-Powered Cyber Attacks</w:t>
      </w:r>
    </w:p>
    <w:p>
      <w:pPr>
        <w:spacing w:line="360" w:lineRule="auto"/>
        <w:ind w:firstLine="720"/>
      </w:pPr>
      <w:r>
        <w:rPr>
          <w:rFonts w:ascii="Times New Roman" w:hAnsi="Times New Roman"/>
          <w:b w:val="0"/>
          <w:i w:val="0"/>
          <w:sz w:val="24"/>
        </w:rPr>
        <w:t>Artificial intelligence is no longer exclusively a defensive tool. Threat actors now deploy AI systems capable of autonomously scanning networks for vulnerabilities, adapting their attack strategies in real time, and operating continuously without human intervention. In the context of finance, AI-driven attacks can manipulate automated trading platforms by injecting carefully crafted fake trading signals, causing sudden market crashes or artificially inflating asset values—a technique known as AI-driven market manipulation.</w:t>
      </w:r>
    </w:p>
    <w:p>
      <w:pPr>
        <w:spacing w:line="360" w:lineRule="auto"/>
        <w:ind w:firstLine="720"/>
      </w:pPr>
      <w:r>
        <w:rPr>
          <w:rFonts w:ascii="Times New Roman" w:hAnsi="Times New Roman"/>
          <w:b w:val="0"/>
          <w:i w:val="0"/>
          <w:sz w:val="24"/>
        </w:rPr>
        <w:t>Unlike traditional rule-based security systems, these AI attackers learn and evolve. Each failed attack provides data that the AI uses to refine its approach. The asymmetry between static defense systems built on 2024-2025 standards and dynamically evolving AI threats presents a fundamental security challenge for Neo-Cebu's financial infrastructure.</w:t>
      </w:r>
    </w:p>
    <w:p>
      <w:pPr>
        <w:pStyle w:val="Heading3"/>
      </w:pPr>
      <w:r>
        <w:rPr>
          <w:rFonts w:ascii="Times New Roman" w:hAnsi="Times New Roman" w:eastAsia="Times New Roman"/>
          <w:color w:val="000000"/>
        </w:rPr>
        <w:t>1.2.2 Deepfake Fraud</w:t>
      </w:r>
    </w:p>
    <w:p>
      <w:pPr>
        <w:spacing w:line="360" w:lineRule="auto"/>
        <w:ind w:firstLine="720"/>
      </w:pPr>
      <w:r>
        <w:rPr>
          <w:rFonts w:ascii="Times New Roman" w:hAnsi="Times New Roman"/>
          <w:b w:val="0"/>
          <w:i w:val="0"/>
          <w:sz w:val="24"/>
        </w:rPr>
        <w:t>Deepfake technology leverages generative AI to create synthetic video, audio, and textual content that is virtually indistinguishable from authentic material. In the financial sector, this technology enables a category of fraud where attackers impersonate trusted executives, clients, or government officials to authorize fraudulent transactions.</w:t>
      </w:r>
    </w:p>
    <w:p>
      <w:pPr>
        <w:spacing w:line="360" w:lineRule="auto"/>
        <w:ind w:firstLine="720"/>
      </w:pPr>
      <w:r>
        <w:rPr>
          <w:rFonts w:ascii="Times New Roman" w:hAnsi="Times New Roman"/>
          <w:b w:val="0"/>
          <w:i w:val="0"/>
          <w:sz w:val="24"/>
        </w:rPr>
        <w:t>The threat is not theoretical. In early 2024, a Hong Kong-based multinational corporation lost approximately $25 million USD after an employee was deceived by a deepfake video conference that convincingly replicated the appearance and voice of the company's Chief Financial Officer (Brewster, 2024). By 2026, deepfake generation tools have become more accessible and produce higher-fidelity outputs, rendering visual inspection by humans insufficient as a countermeasure.</w:t>
      </w:r>
    </w:p>
    <w:p>
      <w:pPr>
        <w:pStyle w:val="Heading3"/>
      </w:pPr>
      <w:r>
        <w:rPr>
          <w:rFonts w:ascii="Times New Roman" w:hAnsi="Times New Roman" w:eastAsia="Times New Roman"/>
          <w:color w:val="000000"/>
        </w:rPr>
        <w:t>1.2.3 Quantum Computing Threats</w:t>
      </w:r>
    </w:p>
    <w:p>
      <w:pPr>
        <w:spacing w:line="360" w:lineRule="auto"/>
        <w:ind w:firstLine="720"/>
      </w:pPr>
      <w:r>
        <w:rPr>
          <w:rFonts w:ascii="Times New Roman" w:hAnsi="Times New Roman"/>
          <w:b w:val="0"/>
          <w:i w:val="0"/>
          <w:sz w:val="24"/>
        </w:rPr>
        <w:t>Quantum computers operate on fundamentally different principles than classical computers, using quantum bits (qubits) that can exist in multiple states simultaneously. This capability enables quantum computers to solve certain mathematical problems exponentially faster than any classical computer—including the mathematical problems upon which modern encryption algorithms are built.</w:t>
      </w:r>
    </w:p>
    <w:p>
      <w:pPr>
        <w:spacing w:line="360" w:lineRule="auto"/>
        <w:ind w:firstLine="720"/>
      </w:pPr>
      <w:r>
        <w:rPr>
          <w:rFonts w:ascii="Times New Roman" w:hAnsi="Times New Roman"/>
          <w:b w:val="0"/>
          <w:i w:val="0"/>
          <w:sz w:val="24"/>
        </w:rPr>
        <w:t>The encryption algorithms currently protecting Neo-Cebu's financial transactions (RSA-2048 and Elliptic Curve Cryptography) could be broken by a sufficiently powerful quantum computer within minutes rather than the thousands of years required by classical computers. This scenario, commonly referred to as "Q-Day," would render all currently encrypted financial data readable by any adversary possessing quantum computing capability.</w:t>
      </w:r>
    </w:p>
    <w:p>
      <w:pPr>
        <w:spacing w:line="360" w:lineRule="auto"/>
        <w:ind w:firstLine="720"/>
      </w:pPr>
      <w:r>
        <w:rPr>
          <w:rFonts w:ascii="Times New Roman" w:hAnsi="Times New Roman"/>
          <w:b w:val="0"/>
          <w:i w:val="0"/>
          <w:sz w:val="24"/>
        </w:rPr>
        <w:t>More immediately concerning is the "Harvest Now, Decrypt Later" (HNDL) strategy, wherein attackers intercept and store encrypted financial data today with the intention of decrypting it once quantum computing resources become available. This means that data encrypted with current standards is already at risk, even before Q-Day arrives.</w:t>
      </w:r>
    </w:p>
    <w:p>
      <w:pPr>
        <w:pStyle w:val="Heading3"/>
      </w:pPr>
      <w:r>
        <w:rPr>
          <w:rFonts w:ascii="Times New Roman" w:hAnsi="Times New Roman" w:eastAsia="Times New Roman"/>
          <w:color w:val="000000"/>
        </w:rPr>
        <w:t>1.2.4 Advanced Social Engineering</w:t>
      </w:r>
    </w:p>
    <w:p>
      <w:pPr>
        <w:spacing w:line="360" w:lineRule="auto"/>
        <w:ind w:firstLine="720"/>
      </w:pPr>
      <w:r>
        <w:rPr>
          <w:rFonts w:ascii="Times New Roman" w:hAnsi="Times New Roman"/>
          <w:b w:val="0"/>
          <w:i w:val="0"/>
          <w:sz w:val="24"/>
        </w:rPr>
        <w:t>Social engineering—the exploitation of human psychology to gain unauthorized access—has been augmented by artificial intelligence to an unprecedented degree. AI-enhanced social engineering attacks leverage publicly available data from social media, professional networks, and data breaches to construct hyper-personalized phishing communications that are extremely difficult to distinguish from legitimate correspondence.</w:t>
      </w:r>
    </w:p>
    <w:p>
      <w:pPr>
        <w:spacing w:line="360" w:lineRule="auto"/>
        <w:ind w:firstLine="720"/>
      </w:pPr>
      <w:r>
        <w:rPr>
          <w:rFonts w:ascii="Times New Roman" w:hAnsi="Times New Roman"/>
          <w:b w:val="0"/>
          <w:i w:val="0"/>
          <w:sz w:val="24"/>
        </w:rPr>
        <w:t>In the financial sector, these attacks target employees with access to critical systems, using AI to generate contextually accurate, individually tailored messages for thousands of targets simultaneously. The Verizon 2024 Data Breach Investigations Report indicates that 82% of data breaches involve a human element, underscoring the persistent vulnerability of the human factor in cybersecurity.</w:t>
      </w:r>
    </w:p>
    <w:p>
      <w:pPr>
        <w:pStyle w:val="Heading2"/>
      </w:pPr>
      <w:r>
        <w:rPr>
          <w:rFonts w:ascii="Times New Roman" w:hAnsi="Times New Roman" w:eastAsia="Times New Roman"/>
          <w:color w:val="000000"/>
        </w:rPr>
        <w:t>1.3 Statement of the Problem</w:t>
      </w:r>
    </w:p>
    <w:p>
      <w:pPr>
        <w:spacing w:line="360" w:lineRule="auto"/>
        <w:ind w:firstLine="720"/>
      </w:pPr>
      <w:r>
        <w:rPr>
          <w:rFonts w:ascii="Times New Roman" w:hAnsi="Times New Roman"/>
          <w:b w:val="0"/>
          <w:i w:val="0"/>
          <w:sz w:val="24"/>
        </w:rPr>
        <w:t>Given the critical role of digital financial infrastructure in Neo-Cebu's daily operations and the escalating sophistication of Hydra-Pulse threats, this paper addresses the following question: How can Neo-Cebu's finance sector defend its digital currency systems and automated trading platforms against AI-powered attacks, deepfake fraud, quantum computing threats, and advanced social engineering while maintaining continuous service availability for over two million users?</w:t>
      </w:r>
    </w:p>
    <w:p>
      <w:pPr>
        <w:spacing w:line="360" w:lineRule="auto"/>
        <w:ind w:firstLine="720"/>
      </w:pPr>
      <w:r>
        <w:rPr>
          <w:rFonts w:ascii="Times New Roman" w:hAnsi="Times New Roman"/>
          <w:b w:val="0"/>
          <w:i w:val="0"/>
          <w:sz w:val="24"/>
        </w:rPr>
        <w:t>This manuscript proposes "Project TitanVault," an original, multi-layered security framework that integrates Post-Quantum Cryptography, Zero Trust Architecture, and AI-powered threat detection to address these challenges comprehensively.</w:t>
      </w:r>
    </w:p>
    <w:p>
      <w:r>
        <w:br w:type="page"/>
      </w:r>
    </w:p>
    <w:p>
      <w:pPr>
        <w:pStyle w:val="Heading1"/>
      </w:pPr>
      <w:r>
        <w:rPr>
          <w:rFonts w:ascii="Times New Roman" w:hAnsi="Times New Roman" w:eastAsia="Times New Roman"/>
          <w:color w:val="000000"/>
        </w:rPr>
        <w:t>Chapter II: Attack Surface Mapping</w:t>
      </w:r>
    </w:p>
    <w:p>
      <w:pPr>
        <w:spacing w:line="360" w:lineRule="auto"/>
        <w:ind w:firstLine="720"/>
      </w:pPr>
      <w:r>
        <w:rPr>
          <w:rFonts w:ascii="Times New Roman" w:hAnsi="Times New Roman"/>
          <w:b w:val="0"/>
          <w:i w:val="0"/>
          <w:sz w:val="24"/>
        </w:rPr>
        <w:t>An attack surface encompasses all points within a system where an unauthorized user can attempt to enter, extract data, or disrupt operations. This chapter provides a comprehensive mapping of the attack surface across Neo-Cebu's financial infrastructure, categorized into three layers: hardware, software, and human factors.</w:t>
      </w:r>
    </w:p>
    <w:p>
      <w:pPr>
        <w:pStyle w:val="Heading2"/>
      </w:pPr>
      <w:r>
        <w:rPr>
          <w:rFonts w:ascii="Times New Roman" w:hAnsi="Times New Roman" w:eastAsia="Times New Roman"/>
          <w:color w:val="000000"/>
        </w:rPr>
        <w:t>2.1 Hardware Vulnerabilities</w:t>
      </w:r>
    </w:p>
    <w:p>
      <w:pPr>
        <w:spacing w:line="360" w:lineRule="auto"/>
        <w:ind w:firstLine="720"/>
      </w:pPr>
      <w:r>
        <w:rPr>
          <w:rFonts w:ascii="Times New Roman" w:hAnsi="Times New Roman"/>
          <w:b w:val="0"/>
          <w:i w:val="0"/>
          <w:sz w:val="24"/>
        </w:rPr>
        <w:t>The physical infrastructure supporting Neo-Cebu's financial systems presents several points of vulnerability. Hardware attacks are particularly concerning because they can be difficult to detect and may persist even after software-level remediation.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Vulnerability</w:t>
            </w:r>
          </w:p>
        </w:tc>
        <w:tc>
          <w:tcPr>
            <w:tcW w:type="dxa" w:w="3120"/>
          </w:tcPr>
          <w:p>
            <w:r/>
            <w:r>
              <w:rPr>
                <w:rFonts w:ascii="Times New Roman" w:hAnsi="Times New Roman"/>
                <w:b/>
                <w:sz w:val="22"/>
              </w:rPr>
              <w:t>Location</w:t>
            </w:r>
          </w:p>
        </w:tc>
        <w:tc>
          <w:tcPr>
            <w:tcW w:type="dxa" w:w="3120"/>
          </w:tcPr>
          <w:p>
            <w:r/>
            <w:r>
              <w:rPr>
                <w:rFonts w:ascii="Times New Roman" w:hAnsi="Times New Roman"/>
                <w:b/>
                <w:sz w:val="22"/>
              </w:rPr>
              <w:t>Potential Impact</w:t>
            </w:r>
          </w:p>
        </w:tc>
      </w:tr>
      <w:tr>
        <w:tc>
          <w:tcPr>
            <w:tcW w:type="dxa" w:w="3120"/>
          </w:tcPr>
          <w:p>
            <w:r/>
            <w:r>
              <w:rPr>
                <w:rFonts w:ascii="Times New Roman" w:hAnsi="Times New Roman"/>
                <w:sz w:val="22"/>
              </w:rPr>
              <w:t>ATM and Point-of-Sale Terminal Tampering</w:t>
            </w:r>
          </w:p>
        </w:tc>
        <w:tc>
          <w:tcPr>
            <w:tcW w:type="dxa" w:w="3120"/>
          </w:tcPr>
          <w:p>
            <w:r/>
            <w:r>
              <w:rPr>
                <w:rFonts w:ascii="Times New Roman" w:hAnsi="Times New Roman"/>
                <w:sz w:val="22"/>
              </w:rPr>
              <w:t>Retail locations and bank branches throughout Neo-Cebu</w:t>
            </w:r>
          </w:p>
        </w:tc>
        <w:tc>
          <w:tcPr>
            <w:tcW w:type="dxa" w:w="3120"/>
          </w:tcPr>
          <w:p>
            <w:r/>
            <w:r>
              <w:rPr>
                <w:rFonts w:ascii="Times New Roman" w:hAnsi="Times New Roman"/>
                <w:sz w:val="22"/>
              </w:rPr>
              <w:t>Installation of skimming devices enables attackers to capture card data and CebuCoin wallet credentials during legitimate transactions.</w:t>
            </w:r>
          </w:p>
        </w:tc>
      </w:tr>
      <w:tr>
        <w:tc>
          <w:tcPr>
            <w:tcW w:type="dxa" w:w="3120"/>
          </w:tcPr>
          <w:p>
            <w:r/>
            <w:r>
              <w:rPr>
                <w:rFonts w:ascii="Times New Roman" w:hAnsi="Times New Roman"/>
                <w:sz w:val="22"/>
              </w:rPr>
              <w:t>Trading Server Compromise</w:t>
            </w:r>
          </w:p>
        </w:tc>
        <w:tc>
          <w:tcPr>
            <w:tcW w:type="dxa" w:w="3120"/>
          </w:tcPr>
          <w:p>
            <w:r/>
            <w:r>
              <w:rPr>
                <w:rFonts w:ascii="Times New Roman" w:hAnsi="Times New Roman"/>
                <w:sz w:val="22"/>
              </w:rPr>
              <w:t>Primary data center in Cebu IT Park</w:t>
            </w:r>
          </w:p>
        </w:tc>
        <w:tc>
          <w:tcPr>
            <w:tcW w:type="dxa" w:w="3120"/>
          </w:tcPr>
          <w:p>
            <w:r/>
            <w:r>
              <w:rPr>
                <w:rFonts w:ascii="Times New Roman" w:hAnsi="Times New Roman"/>
                <w:sz w:val="22"/>
              </w:rPr>
              <w:t>Physical access or supply-chain hardware backdoors could allow attackers to intercept or manipulate AutoTrade system operations directly.</w:t>
            </w:r>
          </w:p>
        </w:tc>
      </w:tr>
      <w:tr>
        <w:tc>
          <w:tcPr>
            <w:tcW w:type="dxa" w:w="3120"/>
          </w:tcPr>
          <w:p>
            <w:r/>
            <w:r>
              <w:rPr>
                <w:rFonts w:ascii="Times New Roman" w:hAnsi="Times New Roman"/>
                <w:sz w:val="22"/>
              </w:rPr>
              <w:t>IoT Payment Sensor Exploitation</w:t>
            </w:r>
          </w:p>
        </w:tc>
        <w:tc>
          <w:tcPr>
            <w:tcW w:type="dxa" w:w="3120"/>
          </w:tcPr>
          <w:p>
            <w:r/>
            <w:r>
              <w:rPr>
                <w:rFonts w:ascii="Times New Roman" w:hAnsi="Times New Roman"/>
                <w:sz w:val="22"/>
              </w:rPr>
              <w:t>Contactless payment terminals deployed across the city</w:t>
            </w:r>
          </w:p>
        </w:tc>
        <w:tc>
          <w:tcPr>
            <w:tcW w:type="dxa" w:w="3120"/>
          </w:tcPr>
          <w:p>
            <w:r/>
            <w:r>
              <w:rPr>
                <w:rFonts w:ascii="Times New Roman" w:hAnsi="Times New Roman"/>
                <w:sz w:val="22"/>
              </w:rPr>
              <w:t>These devices often run outdated firmware and lack robust update mechanisms, making them susceptible to remote exploitation.</w:t>
            </w:r>
          </w:p>
        </w:tc>
      </w:tr>
      <w:tr>
        <w:tc>
          <w:tcPr>
            <w:tcW w:type="dxa" w:w="3120"/>
          </w:tcPr>
          <w:p>
            <w:r/>
            <w:r>
              <w:rPr>
                <w:rFonts w:ascii="Times New Roman" w:hAnsi="Times New Roman"/>
                <w:sz w:val="22"/>
              </w:rPr>
              <w:t>Network Infrastructure Interception</w:t>
            </w:r>
          </w:p>
        </w:tc>
        <w:tc>
          <w:tcPr>
            <w:tcW w:type="dxa" w:w="3120"/>
          </w:tcPr>
          <w:p>
            <w:r/>
            <w:r>
              <w:rPr>
                <w:rFonts w:ascii="Times New Roman" w:hAnsi="Times New Roman"/>
                <w:sz w:val="22"/>
              </w:rPr>
              <w:t>Fiber optic lines and routing equipment</w:t>
            </w:r>
          </w:p>
        </w:tc>
        <w:tc>
          <w:tcPr>
            <w:tcW w:type="dxa" w:w="3120"/>
          </w:tcPr>
          <w:p>
            <w:r/>
            <w:r>
              <w:rPr>
                <w:rFonts w:ascii="Times New Roman" w:hAnsi="Times New Roman"/>
                <w:sz w:val="22"/>
              </w:rPr>
              <w:t>Compromised routers can redirect financial data traffic to attacker-controlled endpoints, enabling Man-in-the-Middle (MitM) attacks.</w:t>
            </w:r>
          </w:p>
        </w:tc>
      </w:tr>
    </w:tbl>
    <w:p/>
    <w:p>
      <w:pPr>
        <w:pStyle w:val="Heading2"/>
      </w:pPr>
      <w:r>
        <w:rPr>
          <w:rFonts w:ascii="Times New Roman" w:hAnsi="Times New Roman" w:eastAsia="Times New Roman"/>
          <w:color w:val="000000"/>
        </w:rPr>
        <w:t>2.2 Software Vulnerabilities</w:t>
      </w:r>
    </w:p>
    <w:p>
      <w:pPr>
        <w:spacing w:line="360" w:lineRule="auto"/>
        <w:ind w:firstLine="720"/>
      </w:pPr>
      <w:r>
        <w:rPr>
          <w:rFonts w:ascii="Times New Roman" w:hAnsi="Times New Roman"/>
          <w:b w:val="0"/>
          <w:i w:val="0"/>
          <w:sz w:val="24"/>
        </w:rPr>
        <w:t>The software layer presents the broadest attack surface due to the complexity and interconnectedness of Neo-Cebu's financial applications.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Vulnerability</w:t>
            </w:r>
          </w:p>
        </w:tc>
        <w:tc>
          <w:tcPr>
            <w:tcW w:type="dxa" w:w="3120"/>
          </w:tcPr>
          <w:p>
            <w:r/>
            <w:r>
              <w:rPr>
                <w:rFonts w:ascii="Times New Roman" w:hAnsi="Times New Roman"/>
                <w:b/>
                <w:sz w:val="22"/>
              </w:rPr>
              <w:t>Location</w:t>
            </w:r>
          </w:p>
        </w:tc>
        <w:tc>
          <w:tcPr>
            <w:tcW w:type="dxa" w:w="3120"/>
          </w:tcPr>
          <w:p>
            <w:r/>
            <w:r>
              <w:rPr>
                <w:rFonts w:ascii="Times New Roman" w:hAnsi="Times New Roman"/>
                <w:b/>
                <w:sz w:val="22"/>
              </w:rPr>
              <w:t>Potential Impact</w:t>
            </w:r>
          </w:p>
        </w:tc>
      </w:tr>
      <w:tr>
        <w:tc>
          <w:tcPr>
            <w:tcW w:type="dxa" w:w="3120"/>
          </w:tcPr>
          <w:p>
            <w:r/>
            <w:r>
              <w:rPr>
                <w:rFonts w:ascii="Times New Roman" w:hAnsi="Times New Roman"/>
                <w:sz w:val="22"/>
              </w:rPr>
              <w:t>Smart Contract Logic Errors</w:t>
            </w:r>
          </w:p>
        </w:tc>
        <w:tc>
          <w:tcPr>
            <w:tcW w:type="dxa" w:w="3120"/>
          </w:tcPr>
          <w:p>
            <w:r/>
            <w:r>
              <w:rPr>
                <w:rFonts w:ascii="Times New Roman" w:hAnsi="Times New Roman"/>
                <w:sz w:val="22"/>
              </w:rPr>
              <w:t>CebuCoin blockchain platform</w:t>
            </w:r>
          </w:p>
        </w:tc>
        <w:tc>
          <w:tcPr>
            <w:tcW w:type="dxa" w:w="3120"/>
          </w:tcPr>
          <w:p>
            <w:r/>
            <w:r>
              <w:rPr>
                <w:rFonts w:ascii="Times New Roman" w:hAnsi="Times New Roman"/>
                <w:sz w:val="22"/>
              </w:rPr>
              <w:t>Coding defects in smart contracts can be exploited to drain funds. The 2016 DAO hack, which resulted in a loss of $60 million in Ethereum, demonstrated the severity of this vulnerability class.</w:t>
            </w:r>
          </w:p>
        </w:tc>
      </w:tr>
      <w:tr>
        <w:tc>
          <w:tcPr>
            <w:tcW w:type="dxa" w:w="3120"/>
          </w:tcPr>
          <w:p>
            <w:r/>
            <w:r>
              <w:rPr>
                <w:rFonts w:ascii="Times New Roman" w:hAnsi="Times New Roman"/>
                <w:sz w:val="22"/>
              </w:rPr>
              <w:t>Insecure API Endpoints</w:t>
            </w:r>
          </w:p>
        </w:tc>
        <w:tc>
          <w:tcPr>
            <w:tcW w:type="dxa" w:w="3120"/>
          </w:tcPr>
          <w:p>
            <w:r/>
            <w:r>
              <w:rPr>
                <w:rFonts w:ascii="Times New Roman" w:hAnsi="Times New Roman"/>
                <w:sz w:val="22"/>
              </w:rPr>
              <w:t>Integration points between banks, wallets, and trading platforms</w:t>
            </w:r>
          </w:p>
        </w:tc>
        <w:tc>
          <w:tcPr>
            <w:tcW w:type="dxa" w:w="3120"/>
          </w:tcPr>
          <w:p>
            <w:r/>
            <w:r>
              <w:rPr>
                <w:rFonts w:ascii="Times New Roman" w:hAnsi="Times New Roman"/>
                <w:sz w:val="22"/>
              </w:rPr>
              <w:t>Poorly authenticated or improperly secured APIs allow unauthorized access to financial data and transaction capabilities.</w:t>
            </w:r>
          </w:p>
        </w:tc>
      </w:tr>
      <w:tr>
        <w:tc>
          <w:tcPr>
            <w:tcW w:type="dxa" w:w="3120"/>
          </w:tcPr>
          <w:p>
            <w:r/>
            <w:r>
              <w:rPr>
                <w:rFonts w:ascii="Times New Roman" w:hAnsi="Times New Roman"/>
                <w:sz w:val="22"/>
              </w:rPr>
              <w:t>AI Model Poisoning</w:t>
            </w:r>
          </w:p>
        </w:tc>
        <w:tc>
          <w:tcPr>
            <w:tcW w:type="dxa" w:w="3120"/>
          </w:tcPr>
          <w:p>
            <w:r/>
            <w:r>
              <w:rPr>
                <w:rFonts w:ascii="Times New Roman" w:hAnsi="Times New Roman"/>
                <w:sz w:val="22"/>
              </w:rPr>
              <w:t>AutoTrade machine learning systems</w:t>
            </w:r>
          </w:p>
        </w:tc>
        <w:tc>
          <w:tcPr>
            <w:tcW w:type="dxa" w:w="3120"/>
          </w:tcPr>
          <w:p>
            <w:r/>
            <w:r>
              <w:rPr>
                <w:rFonts w:ascii="Times New Roman" w:hAnsi="Times New Roman"/>
                <w:sz w:val="22"/>
              </w:rPr>
              <w:t>Injecting manipulated training data causes the AI to make systematically incorrect trading decisions, enabling market manipulation.</w:t>
            </w:r>
          </w:p>
        </w:tc>
      </w:tr>
      <w:tr>
        <w:tc>
          <w:tcPr>
            <w:tcW w:type="dxa" w:w="3120"/>
          </w:tcPr>
          <w:p>
            <w:r/>
            <w:r>
              <w:rPr>
                <w:rFonts w:ascii="Times New Roman" w:hAnsi="Times New Roman"/>
                <w:sz w:val="22"/>
              </w:rPr>
              <w:t>Legacy Encryption (RSA-2048, ECC)</w:t>
            </w:r>
          </w:p>
        </w:tc>
        <w:tc>
          <w:tcPr>
            <w:tcW w:type="dxa" w:w="3120"/>
          </w:tcPr>
          <w:p>
            <w:r/>
            <w:r>
              <w:rPr>
                <w:rFonts w:ascii="Times New Roman" w:hAnsi="Times New Roman"/>
                <w:sz w:val="22"/>
              </w:rPr>
              <w:t>All encrypted data transmissions and storage</w:t>
            </w:r>
          </w:p>
        </w:tc>
        <w:tc>
          <w:tcPr>
            <w:tcW w:type="dxa" w:w="3120"/>
          </w:tcPr>
          <w:p>
            <w:r/>
            <w:r>
              <w:rPr>
                <w:rFonts w:ascii="Times New Roman" w:hAnsi="Times New Roman"/>
                <w:sz w:val="22"/>
              </w:rPr>
              <w:t>Current encryption standards will become vulnerable to quantum computing attacks, compromising the confidentiality of all protected data.</w:t>
            </w:r>
          </w:p>
        </w:tc>
      </w:tr>
      <w:tr>
        <w:tc>
          <w:tcPr>
            <w:tcW w:type="dxa" w:w="3120"/>
          </w:tcPr>
          <w:p>
            <w:r/>
            <w:r>
              <w:rPr>
                <w:rFonts w:ascii="Times New Roman" w:hAnsi="Times New Roman"/>
                <w:sz w:val="22"/>
              </w:rPr>
              <w:t>Mobile Application Reverse Engineering</w:t>
            </w:r>
          </w:p>
        </w:tc>
        <w:tc>
          <w:tcPr>
            <w:tcW w:type="dxa" w:w="3120"/>
          </w:tcPr>
          <w:p>
            <w:r/>
            <w:r>
              <w:rPr>
                <w:rFonts w:ascii="Times New Roman" w:hAnsi="Times New Roman"/>
                <w:sz w:val="22"/>
              </w:rPr>
              <w:t>CebuCoin Wallet mobile app</w:t>
            </w:r>
          </w:p>
        </w:tc>
        <w:tc>
          <w:tcPr>
            <w:tcW w:type="dxa" w:w="3120"/>
          </w:tcPr>
          <w:p>
            <w:r/>
            <w:r>
              <w:rPr>
                <w:rFonts w:ascii="Times New Roman" w:hAnsi="Times New Roman"/>
                <w:sz w:val="22"/>
              </w:rPr>
              <w:t>Decompilation of the application binary can reveal embedded security keys, authentication tokens, and API endpoints.</w:t>
            </w:r>
          </w:p>
        </w:tc>
      </w:tr>
    </w:tbl>
    <w:p/>
    <w:p>
      <w:pPr>
        <w:pStyle w:val="Heading2"/>
      </w:pPr>
      <w:r>
        <w:rPr>
          <w:rFonts w:ascii="Times New Roman" w:hAnsi="Times New Roman" w:eastAsia="Times New Roman"/>
          <w:color w:val="000000"/>
        </w:rPr>
        <w:t>2.3 Human Factor Vulnerabilities</w:t>
      </w:r>
    </w:p>
    <w:p>
      <w:pPr>
        <w:spacing w:line="360" w:lineRule="auto"/>
        <w:ind w:firstLine="720"/>
      </w:pPr>
      <w:r>
        <w:rPr>
          <w:rFonts w:ascii="Times New Roman" w:hAnsi="Times New Roman"/>
          <w:b w:val="0"/>
          <w:i w:val="0"/>
          <w:sz w:val="24"/>
        </w:rPr>
        <w:t>Despite technological safeguards, the human element remains the most exploited vulnerability in cybersecurity. The financial sector's reliance on human judgment for authorization decisions creates persistent risk.</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Vulnerability</w:t>
            </w:r>
          </w:p>
        </w:tc>
        <w:tc>
          <w:tcPr>
            <w:tcW w:type="dxa" w:w="3120"/>
          </w:tcPr>
          <w:p>
            <w:r/>
            <w:r>
              <w:rPr>
                <w:rFonts w:ascii="Times New Roman" w:hAnsi="Times New Roman"/>
                <w:b/>
                <w:sz w:val="22"/>
              </w:rPr>
              <w:t>Population at Risk</w:t>
            </w:r>
          </w:p>
        </w:tc>
        <w:tc>
          <w:tcPr>
            <w:tcW w:type="dxa" w:w="3120"/>
          </w:tcPr>
          <w:p>
            <w:r/>
            <w:r>
              <w:rPr>
                <w:rFonts w:ascii="Times New Roman" w:hAnsi="Times New Roman"/>
                <w:b/>
                <w:sz w:val="22"/>
              </w:rPr>
              <w:t>Potential Impact</w:t>
            </w:r>
          </w:p>
        </w:tc>
      </w:tr>
      <w:tr>
        <w:tc>
          <w:tcPr>
            <w:tcW w:type="dxa" w:w="3120"/>
          </w:tcPr>
          <w:p>
            <w:r/>
            <w:r>
              <w:rPr>
                <w:rFonts w:ascii="Times New Roman" w:hAnsi="Times New Roman"/>
                <w:sz w:val="22"/>
              </w:rPr>
              <w:t>AI-Enhanced Phishing</w:t>
            </w:r>
          </w:p>
        </w:tc>
        <w:tc>
          <w:tcPr>
            <w:tcW w:type="dxa" w:w="3120"/>
          </w:tcPr>
          <w:p>
            <w:r/>
            <w:r>
              <w:rPr>
                <w:rFonts w:ascii="Times New Roman" w:hAnsi="Times New Roman"/>
                <w:sz w:val="22"/>
              </w:rPr>
              <w:t>Bank employees and trading system operators</w:t>
            </w:r>
          </w:p>
        </w:tc>
        <w:tc>
          <w:tcPr>
            <w:tcW w:type="dxa" w:w="3120"/>
          </w:tcPr>
          <w:p>
            <w:r/>
            <w:r>
              <w:rPr>
                <w:rFonts w:ascii="Times New Roman" w:hAnsi="Times New Roman"/>
                <w:sz w:val="22"/>
              </w:rPr>
              <w:t>AI-generated communications that replicate the writing style, context, and urgency of legitimate internal messages result in credential disclosure.</w:t>
            </w:r>
          </w:p>
        </w:tc>
      </w:tr>
      <w:tr>
        <w:tc>
          <w:tcPr>
            <w:tcW w:type="dxa" w:w="3120"/>
          </w:tcPr>
          <w:p>
            <w:r/>
            <w:r>
              <w:rPr>
                <w:rFonts w:ascii="Times New Roman" w:hAnsi="Times New Roman"/>
                <w:sz w:val="22"/>
              </w:rPr>
              <w:t>Insider Threats</w:t>
            </w:r>
          </w:p>
        </w:tc>
        <w:tc>
          <w:tcPr>
            <w:tcW w:type="dxa" w:w="3120"/>
          </w:tcPr>
          <w:p>
            <w:r/>
            <w:r>
              <w:rPr>
                <w:rFonts w:ascii="Times New Roman" w:hAnsi="Times New Roman"/>
                <w:sz w:val="22"/>
              </w:rPr>
              <w:t>Employees with privileged access</w:t>
            </w:r>
          </w:p>
        </w:tc>
        <w:tc>
          <w:tcPr>
            <w:tcW w:type="dxa" w:w="3120"/>
          </w:tcPr>
          <w:p>
            <w:r/>
            <w:r>
              <w:rPr>
                <w:rFonts w:ascii="Times New Roman" w:hAnsi="Times New Roman"/>
                <w:sz w:val="22"/>
              </w:rPr>
              <w:t>A disgruntled or compromised database administrator could exfiltrate or sell access credentials through dark web marketplaces.</w:t>
            </w:r>
          </w:p>
        </w:tc>
      </w:tr>
      <w:tr>
        <w:tc>
          <w:tcPr>
            <w:tcW w:type="dxa" w:w="3120"/>
          </w:tcPr>
          <w:p>
            <w:r/>
            <w:r>
              <w:rPr>
                <w:rFonts w:ascii="Times New Roman" w:hAnsi="Times New Roman"/>
                <w:sz w:val="22"/>
              </w:rPr>
              <w:t>Deepfake-Based Authorization Fraud</w:t>
            </w:r>
          </w:p>
        </w:tc>
        <w:tc>
          <w:tcPr>
            <w:tcW w:type="dxa" w:w="3120"/>
          </w:tcPr>
          <w:p>
            <w:r/>
            <w:r>
              <w:rPr>
                <w:rFonts w:ascii="Times New Roman" w:hAnsi="Times New Roman"/>
                <w:sz w:val="22"/>
              </w:rPr>
              <w:t>Managers and executives with approval authority</w:t>
            </w:r>
          </w:p>
        </w:tc>
        <w:tc>
          <w:tcPr>
            <w:tcW w:type="dxa" w:w="3120"/>
          </w:tcPr>
          <w:p>
            <w:r/>
            <w:r>
              <w:rPr>
                <w:rFonts w:ascii="Times New Roman" w:hAnsi="Times New Roman"/>
                <w:sz w:val="22"/>
              </w:rPr>
              <w:t>Synthetic video and audio used in fraudulent authorization requests bypass traditional voice and visual verification.</w:t>
            </w:r>
          </w:p>
        </w:tc>
      </w:tr>
      <w:tr>
        <w:tc>
          <w:tcPr>
            <w:tcW w:type="dxa" w:w="3120"/>
          </w:tcPr>
          <w:p>
            <w:r/>
            <w:r>
              <w:rPr>
                <w:rFonts w:ascii="Times New Roman" w:hAnsi="Times New Roman"/>
                <w:sz w:val="22"/>
              </w:rPr>
              <w:t>Credential Weakness</w:t>
            </w:r>
          </w:p>
        </w:tc>
        <w:tc>
          <w:tcPr>
            <w:tcW w:type="dxa" w:w="3120"/>
          </w:tcPr>
          <w:p>
            <w:r/>
            <w:r>
              <w:rPr>
                <w:rFonts w:ascii="Times New Roman" w:hAnsi="Times New Roman"/>
                <w:sz w:val="22"/>
              </w:rPr>
              <w:t>Citizens using CebuCoin digital wallets</w:t>
            </w:r>
          </w:p>
        </w:tc>
        <w:tc>
          <w:tcPr>
            <w:tcW w:type="dxa" w:w="3120"/>
          </w:tcPr>
          <w:p>
            <w:r/>
            <w:r>
              <w:rPr>
                <w:rFonts w:ascii="Times New Roman" w:hAnsi="Times New Roman"/>
                <w:sz w:val="22"/>
              </w:rPr>
              <w:t>Password reuse and weak credential practices provide attackers with easily exploitable entry points to individual accounts.</w:t>
            </w:r>
          </w:p>
        </w:tc>
      </w:tr>
      <w:tr>
        <w:tc>
          <w:tcPr>
            <w:tcW w:type="dxa" w:w="3120"/>
          </w:tcPr>
          <w:p>
            <w:r/>
            <w:r>
              <w:rPr>
                <w:rFonts w:ascii="Times New Roman" w:hAnsi="Times New Roman"/>
                <w:sz w:val="22"/>
              </w:rPr>
              <w:t>Security Alert Fatigue</w:t>
            </w:r>
          </w:p>
        </w:tc>
        <w:tc>
          <w:tcPr>
            <w:tcW w:type="dxa" w:w="3120"/>
          </w:tcPr>
          <w:p>
            <w:r/>
            <w:r>
              <w:rPr>
                <w:rFonts w:ascii="Times New Roman" w:hAnsi="Times New Roman"/>
                <w:sz w:val="22"/>
              </w:rPr>
              <w:t>All system users</w:t>
            </w:r>
          </w:p>
        </w:tc>
        <w:tc>
          <w:tcPr>
            <w:tcW w:type="dxa" w:w="3120"/>
          </w:tcPr>
          <w:p>
            <w:r/>
            <w:r>
              <w:rPr>
                <w:rFonts w:ascii="Times New Roman" w:hAnsi="Times New Roman"/>
                <w:sz w:val="22"/>
              </w:rPr>
              <w:t>Repeated exposure to security warnings leads to desensitization, causing users to ignore or dismiss legitimate security alerts.</w:t>
            </w:r>
          </w:p>
        </w:tc>
      </w:tr>
    </w:tbl>
    <w:p/>
    <w:p>
      <w:pPr>
        <w:spacing w:line="360" w:lineRule="auto"/>
        <w:ind w:firstLine="720"/>
      </w:pPr>
      <w:r>
        <w:rPr>
          <w:rFonts w:ascii="Times New Roman" w:hAnsi="Times New Roman"/>
          <w:b w:val="0"/>
          <w:i w:val="0"/>
          <w:sz w:val="24"/>
        </w:rPr>
        <w:t>The intersection of these three vulnerability layers creates a complex, multi-dimensional attack surface. An effective security solution must address all three layers simultaneously, as attackers frequently combine techniques across categories to execute sophisticated, multi-stage attacks.</w:t>
      </w:r>
    </w:p>
    <w:p>
      <w:r>
        <w:br w:type="page"/>
      </w:r>
    </w:p>
    <w:p>
      <w:pPr>
        <w:pStyle w:val="Heading1"/>
      </w:pPr>
      <w:r>
        <w:rPr>
          <w:rFonts w:ascii="Times New Roman" w:hAnsi="Times New Roman" w:eastAsia="Times New Roman"/>
          <w:color w:val="000000"/>
        </w:rPr>
        <w:t>Chapter III: Proposed Innovative Solution — Project TitanVault</w:t>
      </w:r>
    </w:p>
    <w:p>
      <w:pPr>
        <w:spacing w:line="360" w:lineRule="auto"/>
        <w:ind w:firstLine="720"/>
      </w:pPr>
      <w:r>
        <w:rPr>
          <w:rFonts w:ascii="Times New Roman" w:hAnsi="Times New Roman"/>
          <w:b w:val="0"/>
          <w:i w:val="0"/>
          <w:sz w:val="24"/>
        </w:rPr>
        <w:t>To address the comprehensive threat landscape identified in Chapters I and II, this paper proposes "Project TitanVault"—a multi-layered cybersecurity framework specifically engineered for Neo-Cebu's financial sector. TitanVault integrates three complementary defensive technologies into a unified, defense-in-depth architecture. Each layer is designed so that if one is compromised, the remaining layers continue to provide protection.</w:t>
      </w:r>
    </w:p>
    <w:p>
      <w:pPr>
        <w:pStyle w:val="Heading2"/>
      </w:pPr>
      <w:r>
        <w:rPr>
          <w:rFonts w:ascii="Times New Roman" w:hAnsi="Times New Roman" w:eastAsia="Times New Roman"/>
          <w:color w:val="000000"/>
        </w:rPr>
        <w:t>3.1 Pillar I: Post-Quantum Cryptography (PQC)</w:t>
      </w:r>
    </w:p>
    <w:p>
      <w:pPr>
        <w:spacing w:line="360" w:lineRule="auto"/>
        <w:ind w:firstLine="720"/>
      </w:pPr>
      <w:r>
        <w:rPr>
          <w:rFonts w:ascii="Times New Roman" w:hAnsi="Times New Roman"/>
          <w:b w:val="0"/>
          <w:i w:val="0"/>
          <w:sz w:val="24"/>
        </w:rPr>
        <w:t>Post-Quantum Cryptography refers to a family of cryptographic algorithms designed to be secure against both classical and quantum computing attacks. Unlike current encryption standards (RSA and ECC), which rely on mathematical problems that quantum computers can solve efficiently, PQC algorithms are based on mathematical problems believed to be resistant to quantum computation.</w:t>
      </w:r>
    </w:p>
    <w:p>
      <w:pPr>
        <w:spacing w:line="360" w:lineRule="auto"/>
        <w:ind w:firstLine="720"/>
      </w:pPr>
      <w:r>
        <w:rPr>
          <w:rFonts w:ascii="Times New Roman" w:hAnsi="Times New Roman"/>
          <w:b w:val="0"/>
          <w:i w:val="0"/>
          <w:sz w:val="24"/>
        </w:rPr>
        <w:t>TitanVault implements the following NIST-standardized PQC algorithms (National Institute of Standards and Technology, 2024):</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Current System</w:t>
            </w:r>
          </w:p>
        </w:tc>
        <w:tc>
          <w:tcPr>
            <w:tcW w:type="dxa" w:w="3120"/>
          </w:tcPr>
          <w:p>
            <w:r/>
            <w:r>
              <w:rPr>
                <w:rFonts w:ascii="Times New Roman" w:hAnsi="Times New Roman"/>
                <w:b/>
                <w:sz w:val="22"/>
              </w:rPr>
              <w:t>Current Vulnerability</w:t>
            </w:r>
          </w:p>
        </w:tc>
        <w:tc>
          <w:tcPr>
            <w:tcW w:type="dxa" w:w="3120"/>
          </w:tcPr>
          <w:p>
            <w:r/>
            <w:r>
              <w:rPr>
                <w:rFonts w:ascii="Times New Roman" w:hAnsi="Times New Roman"/>
                <w:b/>
                <w:sz w:val="22"/>
              </w:rPr>
              <w:t>TitanVault PQC Upgrade</w:t>
            </w:r>
          </w:p>
        </w:tc>
      </w:tr>
      <w:tr>
        <w:tc>
          <w:tcPr>
            <w:tcW w:type="dxa" w:w="3120"/>
          </w:tcPr>
          <w:p>
            <w:r/>
            <w:r>
              <w:rPr>
                <w:rFonts w:ascii="Times New Roman" w:hAnsi="Times New Roman"/>
                <w:sz w:val="22"/>
              </w:rPr>
              <w:t>CebuCoin transaction encryption (RSA-2048)</w:t>
            </w:r>
          </w:p>
        </w:tc>
        <w:tc>
          <w:tcPr>
            <w:tcW w:type="dxa" w:w="3120"/>
          </w:tcPr>
          <w:p>
            <w:r/>
            <w:r>
              <w:rPr>
                <w:rFonts w:ascii="Times New Roman" w:hAnsi="Times New Roman"/>
                <w:sz w:val="22"/>
              </w:rPr>
              <w:t>Vulnerable to Shor's algorithm on quantum computers</w:t>
            </w:r>
          </w:p>
        </w:tc>
        <w:tc>
          <w:tcPr>
            <w:tcW w:type="dxa" w:w="3120"/>
          </w:tcPr>
          <w:p>
            <w:r/>
            <w:r>
              <w:rPr>
                <w:rFonts w:ascii="Times New Roman" w:hAnsi="Times New Roman"/>
                <w:sz w:val="22"/>
              </w:rPr>
              <w:t>CRYSTALS-Kyber: A lattice-based key encapsulation mechanism providing quantum-resistant encryption for all data in transit.</w:t>
            </w:r>
          </w:p>
        </w:tc>
      </w:tr>
      <w:tr>
        <w:tc>
          <w:tcPr>
            <w:tcW w:type="dxa" w:w="3120"/>
          </w:tcPr>
          <w:p>
            <w:r/>
            <w:r>
              <w:rPr>
                <w:rFonts w:ascii="Times New Roman" w:hAnsi="Times New Roman"/>
                <w:sz w:val="22"/>
              </w:rPr>
              <w:t>Smart contract digital signatures (ECC)</w:t>
            </w:r>
          </w:p>
        </w:tc>
        <w:tc>
          <w:tcPr>
            <w:tcW w:type="dxa" w:w="3120"/>
          </w:tcPr>
          <w:p>
            <w:r/>
            <w:r>
              <w:rPr>
                <w:rFonts w:ascii="Times New Roman" w:hAnsi="Times New Roman"/>
                <w:sz w:val="22"/>
              </w:rPr>
              <w:t>Quantum computers can forge elliptic curve signatures</w:t>
            </w:r>
          </w:p>
        </w:tc>
        <w:tc>
          <w:tcPr>
            <w:tcW w:type="dxa" w:w="3120"/>
          </w:tcPr>
          <w:p>
            <w:r/>
            <w:r>
              <w:rPr>
                <w:rFonts w:ascii="Times New Roman" w:hAnsi="Times New Roman"/>
                <w:sz w:val="22"/>
              </w:rPr>
              <w:t>CRYSTALS-Dilithium: A lattice-based digital signature scheme ensuring transaction authenticity cannot be spoofed, even with quantum capabilities.</w:t>
            </w:r>
          </w:p>
        </w:tc>
      </w:tr>
      <w:tr>
        <w:tc>
          <w:tcPr>
            <w:tcW w:type="dxa" w:w="3120"/>
          </w:tcPr>
          <w:p>
            <w:r/>
            <w:r>
              <w:rPr>
                <w:rFonts w:ascii="Times New Roman" w:hAnsi="Times New Roman"/>
                <w:sz w:val="22"/>
              </w:rPr>
              <w:t>Stored financial records (AES-128)</w:t>
            </w:r>
          </w:p>
        </w:tc>
        <w:tc>
          <w:tcPr>
            <w:tcW w:type="dxa" w:w="3120"/>
          </w:tcPr>
          <w:p>
            <w:r/>
            <w:r>
              <w:rPr>
                <w:rFonts w:ascii="Times New Roman" w:hAnsi="Times New Roman"/>
                <w:sz w:val="22"/>
              </w:rPr>
              <w:t>Grover's algorithm reduces effective key length by half</w:t>
            </w:r>
          </w:p>
        </w:tc>
        <w:tc>
          <w:tcPr>
            <w:tcW w:type="dxa" w:w="3120"/>
          </w:tcPr>
          <w:p>
            <w:r/>
            <w:r>
              <w:rPr>
                <w:rFonts w:ascii="Times New Roman" w:hAnsi="Times New Roman"/>
                <w:sz w:val="22"/>
              </w:rPr>
              <w:t>AES-256 with PQC key exchange: Doubling the symmetric key length restores quantum resistance for all data at rest.</w:t>
            </w:r>
          </w:p>
        </w:tc>
      </w:tr>
    </w:tbl>
    <w:p/>
    <w:p>
      <w:pPr>
        <w:spacing w:line="360" w:lineRule="auto"/>
        <w:ind w:firstLine="720"/>
      </w:pPr>
      <w:r>
        <w:rPr>
          <w:rFonts w:ascii="Times New Roman" w:hAnsi="Times New Roman"/>
          <w:b w:val="0"/>
          <w:i w:val="0"/>
          <w:sz w:val="24"/>
        </w:rPr>
        <w:t>The choice of lattice-based cryptography is deliberate. Lattice problems are among the most studied in post-quantum research and offer favorable performance characteristics—critical for high-throughput financial systems that must process thousands of transactions per second without introducing latency.</w:t>
      </w:r>
    </w:p>
    <w:p>
      <w:pPr>
        <w:pStyle w:val="Heading2"/>
      </w:pPr>
      <w:r>
        <w:rPr>
          <w:rFonts w:ascii="Times New Roman" w:hAnsi="Times New Roman" w:eastAsia="Times New Roman"/>
          <w:color w:val="000000"/>
        </w:rPr>
        <w:t>3.2 Pillar II: Zero Trust Architecture (ZTA)</w:t>
      </w:r>
    </w:p>
    <w:p>
      <w:pPr>
        <w:spacing w:line="360" w:lineRule="auto"/>
        <w:ind w:firstLine="720"/>
      </w:pPr>
      <w:r>
        <w:rPr>
          <w:rFonts w:ascii="Times New Roman" w:hAnsi="Times New Roman"/>
          <w:b w:val="0"/>
          <w:i w:val="0"/>
          <w:sz w:val="24"/>
        </w:rPr>
        <w:t>Zero Trust Architecture represents a paradigm shift from traditional perimeter-based security models. The conventional approach—often metaphorically described as a "castle and moat"—assumes that entities inside the network perimeter are trustworthy. Zero Trust eliminates this assumption entirely, operating on the principle: "Never trust, always verify" (Rose et al., 2020, NIST SP 800-207).</w:t>
      </w:r>
    </w:p>
    <w:p>
      <w:pPr>
        <w:spacing w:line="360" w:lineRule="auto"/>
        <w:ind w:firstLine="720"/>
      </w:pPr>
      <w:r>
        <w:rPr>
          <w:rFonts w:ascii="Times New Roman" w:hAnsi="Times New Roman"/>
          <w:b w:val="0"/>
          <w:i w:val="0"/>
          <w:sz w:val="24"/>
        </w:rPr>
        <w:t>TitanVault's Zero Trust implementation enforces four foundational rules: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Principle</w:t>
            </w:r>
          </w:p>
        </w:tc>
        <w:tc>
          <w:tcPr>
            <w:tcW w:type="dxa" w:w="3120"/>
          </w:tcPr>
          <w:p>
            <w:r/>
            <w:r>
              <w:rPr>
                <w:rFonts w:ascii="Times New Roman" w:hAnsi="Times New Roman"/>
                <w:b/>
                <w:sz w:val="22"/>
              </w:rPr>
              <w:t>Implementation in Neo-Cebu Finance</w:t>
            </w:r>
          </w:p>
        </w:tc>
        <w:tc>
          <w:tcPr>
            <w:tcW w:type="dxa" w:w="3120"/>
          </w:tcPr>
          <w:p>
            <w:r/>
            <w:r>
              <w:rPr>
                <w:rFonts w:ascii="Times New Roman" w:hAnsi="Times New Roman"/>
                <w:b/>
                <w:sz w:val="22"/>
              </w:rPr>
              <w:t>Example</w:t>
            </w:r>
          </w:p>
        </w:tc>
      </w:tr>
      <w:tr>
        <w:tc>
          <w:tcPr>
            <w:tcW w:type="dxa" w:w="3120"/>
          </w:tcPr>
          <w:p>
            <w:r/>
            <w:r>
              <w:rPr>
                <w:rFonts w:ascii="Times New Roman" w:hAnsi="Times New Roman"/>
                <w:sz w:val="22"/>
              </w:rPr>
              <w:t>Verify Explicitly</w:t>
            </w:r>
          </w:p>
        </w:tc>
        <w:tc>
          <w:tcPr>
            <w:tcW w:type="dxa" w:w="3120"/>
          </w:tcPr>
          <w:p>
            <w:r/>
            <w:r>
              <w:rPr>
                <w:rFonts w:ascii="Times New Roman" w:hAnsi="Times New Roman"/>
                <w:sz w:val="22"/>
              </w:rPr>
              <w:t>Every access request is authenticated and authorized using all available signals (identity, device, location, time, behavior).</w:t>
            </w:r>
          </w:p>
        </w:tc>
        <w:tc>
          <w:tcPr>
            <w:tcW w:type="dxa" w:w="3120"/>
          </w:tcPr>
          <w:p>
            <w:r/>
            <w:r>
              <w:rPr>
                <w:rFonts w:ascii="Times New Roman" w:hAnsi="Times New Roman"/>
                <w:sz w:val="22"/>
              </w:rPr>
              <w:t>A trader must verify identity through multi-factor authentication, operate from a registered device, connect from an approved location, and access during authorized hours before gaining AutoTrade privileges.</w:t>
            </w:r>
          </w:p>
        </w:tc>
      </w:tr>
      <w:tr>
        <w:tc>
          <w:tcPr>
            <w:tcW w:type="dxa" w:w="3120"/>
          </w:tcPr>
          <w:p>
            <w:r/>
            <w:r>
              <w:rPr>
                <w:rFonts w:ascii="Times New Roman" w:hAnsi="Times New Roman"/>
                <w:sz w:val="22"/>
              </w:rPr>
              <w:t>Least Privilege Access</w:t>
            </w:r>
          </w:p>
        </w:tc>
        <w:tc>
          <w:tcPr>
            <w:tcW w:type="dxa" w:w="3120"/>
          </w:tcPr>
          <w:p>
            <w:r/>
            <w:r>
              <w:rPr>
                <w:rFonts w:ascii="Times New Roman" w:hAnsi="Times New Roman"/>
                <w:sz w:val="22"/>
              </w:rPr>
              <w:t>Users and systems receive the minimum level of access necessary to perform their function.</w:t>
            </w:r>
          </w:p>
        </w:tc>
        <w:tc>
          <w:tcPr>
            <w:tcW w:type="dxa" w:w="3120"/>
          </w:tcPr>
          <w:p>
            <w:r/>
            <w:r>
              <w:rPr>
                <w:rFonts w:ascii="Times New Roman" w:hAnsi="Times New Roman"/>
                <w:sz w:val="22"/>
              </w:rPr>
              <w:t>A bank teller can view customer account balances but cannot access or modify trading algorithms, customer personal data beyond their branch, or system configurations.</w:t>
            </w:r>
          </w:p>
        </w:tc>
      </w:tr>
      <w:tr>
        <w:tc>
          <w:tcPr>
            <w:tcW w:type="dxa" w:w="3120"/>
          </w:tcPr>
          <w:p>
            <w:r/>
            <w:r>
              <w:rPr>
                <w:rFonts w:ascii="Times New Roman" w:hAnsi="Times New Roman"/>
                <w:sz w:val="22"/>
              </w:rPr>
              <w:t>Assume Breach</w:t>
            </w:r>
          </w:p>
        </w:tc>
        <w:tc>
          <w:tcPr>
            <w:tcW w:type="dxa" w:w="3120"/>
          </w:tcPr>
          <w:p>
            <w:r/>
            <w:r>
              <w:rPr>
                <w:rFonts w:ascii="Times New Roman" w:hAnsi="Times New Roman"/>
                <w:sz w:val="22"/>
              </w:rPr>
              <w:t>System architecture is designed with the assumption that attackers are already present within the network.</w:t>
            </w:r>
          </w:p>
        </w:tc>
        <w:tc>
          <w:tcPr>
            <w:tcW w:type="dxa" w:w="3120"/>
          </w:tcPr>
          <w:p>
            <w:r/>
            <w:r>
              <w:rPr>
                <w:rFonts w:ascii="Times New Roman" w:hAnsi="Times New Roman"/>
                <w:sz w:val="22"/>
              </w:rPr>
              <w:t>If an attacker compromises one employee's credentials, micro-segmentation ensures they can only access that employee's limited scope—not the broader financial infrastructure.</w:t>
            </w:r>
          </w:p>
        </w:tc>
      </w:tr>
      <w:tr>
        <w:tc>
          <w:tcPr>
            <w:tcW w:type="dxa" w:w="3120"/>
          </w:tcPr>
          <w:p>
            <w:r/>
            <w:r>
              <w:rPr>
                <w:rFonts w:ascii="Times New Roman" w:hAnsi="Times New Roman"/>
                <w:sz w:val="22"/>
              </w:rPr>
              <w:t>Micro-Segmentation</w:t>
            </w:r>
          </w:p>
        </w:tc>
        <w:tc>
          <w:tcPr>
            <w:tcW w:type="dxa" w:w="3120"/>
          </w:tcPr>
          <w:p>
            <w:r/>
            <w:r>
              <w:rPr>
                <w:rFonts w:ascii="Times New Roman" w:hAnsi="Times New Roman"/>
                <w:sz w:val="22"/>
              </w:rPr>
              <w:t>The network is divided into small, isolated security zones, each requiring independent authentication.</w:t>
            </w:r>
          </w:p>
        </w:tc>
        <w:tc>
          <w:tcPr>
            <w:tcW w:type="dxa" w:w="3120"/>
          </w:tcPr>
          <w:p>
            <w:r/>
            <w:r>
              <w:rPr>
                <w:rFonts w:ascii="Times New Roman" w:hAnsi="Times New Roman"/>
                <w:sz w:val="22"/>
              </w:rPr>
              <w:t>The CebuCoin wallet database, AutoTrade servers, smart contract engine, and customer data store are each isolated in separate zones. Compromising one zone does not grant access to any other.</w:t>
            </w:r>
          </w:p>
        </w:tc>
      </w:tr>
    </w:tbl>
    <w:p/>
    <w:p>
      <w:pPr>
        <w:pStyle w:val="Heading2"/>
      </w:pPr>
      <w:r>
        <w:rPr>
          <w:rFonts w:ascii="Times New Roman" w:hAnsi="Times New Roman" w:eastAsia="Times New Roman"/>
          <w:color w:val="000000"/>
        </w:rPr>
        <w:t>3.3 Pillar III: AI-Powered Threat Detection (Sentinel AI)</w:t>
      </w:r>
    </w:p>
    <w:p>
      <w:pPr>
        <w:spacing w:line="360" w:lineRule="auto"/>
        <w:ind w:firstLine="720"/>
      </w:pPr>
      <w:r>
        <w:rPr>
          <w:rFonts w:ascii="Times New Roman" w:hAnsi="Times New Roman"/>
          <w:b w:val="0"/>
          <w:i w:val="0"/>
          <w:sz w:val="24"/>
        </w:rPr>
        <w:t>The third pillar of TitanVault deploys artificial intelligence as a defensive tool. Sentinel AI is a machine learning-based security system that provides continuous, real-time monitoring of all financial system activity. Its design addresses the asymmetry identified in Chapter I: if attackers use AI to attack, defenders must use AI to defend.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Capability</w:t>
            </w:r>
          </w:p>
        </w:tc>
        <w:tc>
          <w:tcPr>
            <w:tcW w:type="dxa" w:w="3120"/>
          </w:tcPr>
          <w:p>
            <w:r/>
            <w:r>
              <w:rPr>
                <w:rFonts w:ascii="Times New Roman" w:hAnsi="Times New Roman"/>
                <w:b/>
                <w:sz w:val="22"/>
              </w:rPr>
              <w:t>Technical Implementation</w:t>
            </w:r>
          </w:p>
        </w:tc>
        <w:tc>
          <w:tcPr>
            <w:tcW w:type="dxa" w:w="3120"/>
          </w:tcPr>
          <w:p>
            <w:r/>
            <w:r>
              <w:rPr>
                <w:rFonts w:ascii="Times New Roman" w:hAnsi="Times New Roman"/>
                <w:b/>
                <w:sz w:val="22"/>
              </w:rPr>
              <w:t>Defensive Application</w:t>
            </w:r>
          </w:p>
        </w:tc>
      </w:tr>
      <w:tr>
        <w:tc>
          <w:tcPr>
            <w:tcW w:type="dxa" w:w="3120"/>
          </w:tcPr>
          <w:p>
            <w:r/>
            <w:r>
              <w:rPr>
                <w:rFonts w:ascii="Times New Roman" w:hAnsi="Times New Roman"/>
                <w:sz w:val="22"/>
              </w:rPr>
              <w:t>Real-Time Transaction Monitoring</w:t>
            </w:r>
          </w:p>
        </w:tc>
        <w:tc>
          <w:tcPr>
            <w:tcW w:type="dxa" w:w="3120"/>
          </w:tcPr>
          <w:p>
            <w:r/>
            <w:r>
              <w:rPr>
                <w:rFonts w:ascii="Times New Roman" w:hAnsi="Times New Roman"/>
                <w:sz w:val="22"/>
              </w:rPr>
              <w:t>Anomaly detection algorithms trained on historical transaction patterns</w:t>
            </w:r>
          </w:p>
        </w:tc>
        <w:tc>
          <w:tcPr>
            <w:tcW w:type="dxa" w:w="3120"/>
          </w:tcPr>
          <w:p>
            <w:r/>
            <w:r>
              <w:rPr>
                <w:rFonts w:ascii="Times New Roman" w:hAnsi="Times New Roman"/>
                <w:sz w:val="22"/>
              </w:rPr>
              <w:t>If the AutoTrade AI begins executing atypical trade patterns (indicative of model poisoning), Sentinel detects the deviation and suspends trading operations within 300 milliseconds.</w:t>
            </w:r>
          </w:p>
        </w:tc>
      </w:tr>
      <w:tr>
        <w:tc>
          <w:tcPr>
            <w:tcW w:type="dxa" w:w="3120"/>
          </w:tcPr>
          <w:p>
            <w:r/>
            <w:r>
              <w:rPr>
                <w:rFonts w:ascii="Times New Roman" w:hAnsi="Times New Roman"/>
                <w:sz w:val="22"/>
              </w:rPr>
              <w:t>Deepfake Detection</w:t>
            </w:r>
          </w:p>
        </w:tc>
        <w:tc>
          <w:tcPr>
            <w:tcW w:type="dxa" w:w="3120"/>
          </w:tcPr>
          <w:p>
            <w:r/>
            <w:r>
              <w:rPr>
                <w:rFonts w:ascii="Times New Roman" w:hAnsi="Times New Roman"/>
                <w:sz w:val="22"/>
              </w:rPr>
              <w:t>Computer vision and audio analysis models trained to identify synthetic media artifacts</w:t>
            </w:r>
          </w:p>
        </w:tc>
        <w:tc>
          <w:tcPr>
            <w:tcW w:type="dxa" w:w="3120"/>
          </w:tcPr>
          <w:p>
            <w:r/>
            <w:r>
              <w:rPr>
                <w:rFonts w:ascii="Times New Roman" w:hAnsi="Times New Roman"/>
                <w:sz w:val="22"/>
              </w:rPr>
              <w:t>Video conference authorization requests are automatically analyzed. Pixel-level inconsistencies, unnatural facial movements, and audio spectral anomalies trigger alerts and transaction blocks.</w:t>
            </w:r>
          </w:p>
        </w:tc>
      </w:tr>
      <w:tr>
        <w:tc>
          <w:tcPr>
            <w:tcW w:type="dxa" w:w="3120"/>
          </w:tcPr>
          <w:p>
            <w:r/>
            <w:r>
              <w:rPr>
                <w:rFonts w:ascii="Times New Roman" w:hAnsi="Times New Roman"/>
                <w:sz w:val="22"/>
              </w:rPr>
              <w:t>Behavioral Biometrics</w:t>
            </w:r>
          </w:p>
        </w:tc>
        <w:tc>
          <w:tcPr>
            <w:tcW w:type="dxa" w:w="3120"/>
          </w:tcPr>
          <w:p>
            <w:r/>
            <w:r>
              <w:rPr>
                <w:rFonts w:ascii="Times New Roman" w:hAnsi="Times New Roman"/>
                <w:sz w:val="22"/>
              </w:rPr>
              <w:t>Continuous authentication through keystroke dynamics, navigation patterns, and session behavior</w:t>
            </w:r>
          </w:p>
        </w:tc>
        <w:tc>
          <w:tcPr>
            <w:tcW w:type="dxa" w:w="3120"/>
          </w:tcPr>
          <w:p>
            <w:r/>
            <w:r>
              <w:rPr>
                <w:rFonts w:ascii="Times New Roman" w:hAnsi="Times New Roman"/>
                <w:sz w:val="22"/>
              </w:rPr>
              <w:t>Even if an attacker possesses valid credentials, Sentinel detects behavioral deviations (different typing rhythm, unusual navigation patterns) and initiates additional verification.</w:t>
            </w:r>
          </w:p>
        </w:tc>
      </w:tr>
      <w:tr>
        <w:tc>
          <w:tcPr>
            <w:tcW w:type="dxa" w:w="3120"/>
          </w:tcPr>
          <w:p>
            <w:r/>
            <w:r>
              <w:rPr>
                <w:rFonts w:ascii="Times New Roman" w:hAnsi="Times New Roman"/>
                <w:sz w:val="22"/>
              </w:rPr>
              <w:t>Predictive Threat Intelligence</w:t>
            </w:r>
          </w:p>
        </w:tc>
        <w:tc>
          <w:tcPr>
            <w:tcW w:type="dxa" w:w="3120"/>
          </w:tcPr>
          <w:p>
            <w:r/>
            <w:r>
              <w:rPr>
                <w:rFonts w:ascii="Times New Roman" w:hAnsi="Times New Roman"/>
                <w:sz w:val="22"/>
              </w:rPr>
              <w:t>Natural language processing applied to threat feeds, dark web forums, and global security advisories</w:t>
            </w:r>
          </w:p>
        </w:tc>
        <w:tc>
          <w:tcPr>
            <w:tcW w:type="dxa" w:w="3120"/>
          </w:tcPr>
          <w:p>
            <w:r/>
            <w:r>
              <w:rPr>
                <w:rFonts w:ascii="Times New Roman" w:hAnsi="Times New Roman"/>
                <w:sz w:val="22"/>
              </w:rPr>
              <w:t>Identifies emerging threats targeting financial systems—such as planned attacks on Neo-Cebu infrastructure—and proactively adjusts defensive postures before attacks materialize.</w:t>
            </w:r>
          </w:p>
        </w:tc>
      </w:tr>
    </w:tbl>
    <w:p/>
    <w:p>
      <w:pPr>
        <w:spacing w:line="360" w:lineRule="auto"/>
        <w:ind w:firstLine="720"/>
      </w:pPr>
      <w:r>
        <w:rPr>
          <w:rFonts w:ascii="Times New Roman" w:hAnsi="Times New Roman"/>
          <w:b w:val="0"/>
          <w:i w:val="0"/>
          <w:sz w:val="24"/>
        </w:rPr>
        <w:t>The integration of these three pillars creates a defense-in-depth architecture where each layer compensates for the potential weaknesses of the others. PQC ensures data remains unreadable even if intercepted; Zero Trust ensures unauthorized access is blocked even if credentials are compromised; and Sentinel AI ensures that anomalous activity is detected and neutralized in real time, even if both previous layers are partially circumvented.</w:t>
      </w:r>
    </w:p>
    <w:p>
      <w:r>
        <w:br w:type="page"/>
      </w:r>
    </w:p>
    <w:p>
      <w:pPr>
        <w:pStyle w:val="Heading1"/>
      </w:pPr>
      <w:r>
        <w:rPr>
          <w:rFonts w:ascii="Times New Roman" w:hAnsi="Times New Roman" w:eastAsia="Times New Roman"/>
          <w:color w:val="000000"/>
        </w:rPr>
        <w:t>Chapter IV: Implementation Roadmap</w:t>
      </w:r>
    </w:p>
    <w:p>
      <w:pPr>
        <w:spacing w:line="360" w:lineRule="auto"/>
        <w:ind w:firstLine="720"/>
      </w:pPr>
      <w:r>
        <w:rPr>
          <w:rFonts w:ascii="Times New Roman" w:hAnsi="Times New Roman"/>
          <w:b w:val="0"/>
          <w:i w:val="0"/>
          <w:sz w:val="24"/>
        </w:rPr>
        <w:t>Deploying Project TitanVault across Neo-Cebu's live financial infrastructure requires meticulous planning to ensure zero disruption to services used by millions of citizens. The following roadmap outlines a 12-month phased deployment strategy designed to upgrade security capabilities while maintaining continuous system availability.</w:t>
      </w:r>
    </w:p>
    <w:p>
      <w:pPr>
        <w:pStyle w:val="Heading2"/>
      </w:pPr>
      <w:r>
        <w:rPr>
          <w:rFonts w:ascii="Times New Roman" w:hAnsi="Times New Roman" w:eastAsia="Times New Roman"/>
          <w:color w:val="000000"/>
        </w:rPr>
        <w:t>4.1 Phase 1: Preparation (Months 1–3)</w:t>
      </w:r>
    </w:p>
    <w:p>
      <w:pPr>
        <w:spacing w:line="360" w:lineRule="auto"/>
      </w:pPr>
      <w:r>
        <w:rPr>
          <w:rFonts w:ascii="Times New Roman" w:hAnsi="Times New Roman"/>
          <w:b/>
          <w:i w:val="0"/>
          <w:sz w:val="24"/>
        </w:rPr>
        <w:t>Objective: Establish the foundation for deployment without modifying live systems.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Task</w:t>
            </w:r>
          </w:p>
        </w:tc>
        <w:tc>
          <w:tcPr>
            <w:tcW w:type="dxa" w:w="3120"/>
          </w:tcPr>
          <w:p>
            <w:r/>
            <w:r>
              <w:rPr>
                <w:rFonts w:ascii="Times New Roman" w:hAnsi="Times New Roman"/>
                <w:b/>
                <w:sz w:val="22"/>
              </w:rPr>
              <w:t>Description</w:t>
            </w:r>
          </w:p>
        </w:tc>
        <w:tc>
          <w:tcPr>
            <w:tcW w:type="dxa" w:w="3120"/>
          </w:tcPr>
          <w:p>
            <w:r/>
            <w:r>
              <w:rPr>
                <w:rFonts w:ascii="Times New Roman" w:hAnsi="Times New Roman"/>
                <w:b/>
                <w:sz w:val="22"/>
              </w:rPr>
              <w:t>Responsible Party</w:t>
            </w:r>
          </w:p>
        </w:tc>
      </w:tr>
      <w:tr>
        <w:tc>
          <w:tcPr>
            <w:tcW w:type="dxa" w:w="3120"/>
          </w:tcPr>
          <w:p>
            <w:r/>
            <w:r>
              <w:rPr>
                <w:rFonts w:ascii="Times New Roman" w:hAnsi="Times New Roman"/>
                <w:sz w:val="22"/>
              </w:rPr>
              <w:t>Comprehensive Security Audit</w:t>
            </w:r>
          </w:p>
        </w:tc>
        <w:tc>
          <w:tcPr>
            <w:tcW w:type="dxa" w:w="3120"/>
          </w:tcPr>
          <w:p>
            <w:r/>
            <w:r>
              <w:rPr>
                <w:rFonts w:ascii="Times New Roman" w:hAnsi="Times New Roman"/>
                <w:sz w:val="22"/>
              </w:rPr>
              <w:t>Conduct a full assessment of all financial systems to validate the attack surface map established in Chapter II and identify any previously undetected vulnerabilities.</w:t>
            </w:r>
          </w:p>
        </w:tc>
        <w:tc>
          <w:tcPr>
            <w:tcW w:type="dxa" w:w="3120"/>
          </w:tcPr>
          <w:p>
            <w:r/>
            <w:r>
              <w:rPr>
                <w:rFonts w:ascii="Times New Roman" w:hAnsi="Times New Roman"/>
                <w:sz w:val="22"/>
              </w:rPr>
              <w:t>CebuShield Finance Division with external auditors</w:t>
            </w:r>
          </w:p>
        </w:tc>
      </w:tr>
      <w:tr>
        <w:tc>
          <w:tcPr>
            <w:tcW w:type="dxa" w:w="3120"/>
          </w:tcPr>
          <w:p>
            <w:r/>
            <w:r>
              <w:rPr>
                <w:rFonts w:ascii="Times New Roman" w:hAnsi="Times New Roman"/>
                <w:sz w:val="22"/>
              </w:rPr>
              <w:t>PQC Testing Laboratory</w:t>
            </w:r>
          </w:p>
        </w:tc>
        <w:tc>
          <w:tcPr>
            <w:tcW w:type="dxa" w:w="3120"/>
          </w:tcPr>
          <w:p>
            <w:r/>
            <w:r>
              <w:rPr>
                <w:rFonts w:ascii="Times New Roman" w:hAnsi="Times New Roman"/>
                <w:sz w:val="22"/>
              </w:rPr>
              <w:t>Construct an isolated test environment that mirrors the production financial infrastructure. All TitanVault components will be tested here before touching live systems.</w:t>
            </w:r>
          </w:p>
        </w:tc>
        <w:tc>
          <w:tcPr>
            <w:tcW w:type="dxa" w:w="3120"/>
          </w:tcPr>
          <w:p>
            <w:r/>
            <w:r>
              <w:rPr>
                <w:rFonts w:ascii="Times New Roman" w:hAnsi="Times New Roman"/>
                <w:sz w:val="22"/>
              </w:rPr>
              <w:t>Technical infrastructure team</w:t>
            </w:r>
          </w:p>
        </w:tc>
      </w:tr>
      <w:tr>
        <w:tc>
          <w:tcPr>
            <w:tcW w:type="dxa" w:w="3120"/>
          </w:tcPr>
          <w:p>
            <w:r/>
            <w:r>
              <w:rPr>
                <w:rFonts w:ascii="Times New Roman" w:hAnsi="Times New Roman"/>
                <w:sz w:val="22"/>
              </w:rPr>
              <w:t>Personnel Training Program</w:t>
            </w:r>
          </w:p>
        </w:tc>
        <w:tc>
          <w:tcPr>
            <w:tcW w:type="dxa" w:w="3120"/>
          </w:tcPr>
          <w:p>
            <w:r/>
            <w:r>
              <w:rPr>
                <w:rFonts w:ascii="Times New Roman" w:hAnsi="Times New Roman"/>
                <w:sz w:val="22"/>
              </w:rPr>
              <w:t>Develop and deliver training for all financial sector employees on Zero Trust protocols, new authentication procedures, and social engineering awareness.</w:t>
            </w:r>
          </w:p>
        </w:tc>
        <w:tc>
          <w:tcPr>
            <w:tcW w:type="dxa" w:w="3120"/>
          </w:tcPr>
          <w:p>
            <w:r/>
            <w:r>
              <w:rPr>
                <w:rFonts w:ascii="Times New Roman" w:hAnsi="Times New Roman"/>
                <w:sz w:val="22"/>
              </w:rPr>
              <w:t>All financial institutions in Neo-Cebu</w:t>
            </w:r>
          </w:p>
        </w:tc>
      </w:tr>
      <w:tr>
        <w:tc>
          <w:tcPr>
            <w:tcW w:type="dxa" w:w="3120"/>
          </w:tcPr>
          <w:p>
            <w:r/>
            <w:r>
              <w:rPr>
                <w:rFonts w:ascii="Times New Roman" w:hAnsi="Times New Roman"/>
                <w:sz w:val="22"/>
              </w:rPr>
              <w:t>Sentinel AI Baseline Training</w:t>
            </w:r>
          </w:p>
        </w:tc>
        <w:tc>
          <w:tcPr>
            <w:tcW w:type="dxa" w:w="3120"/>
          </w:tcPr>
          <w:p>
            <w:r/>
            <w:r>
              <w:rPr>
                <w:rFonts w:ascii="Times New Roman" w:hAnsi="Times New Roman"/>
                <w:sz w:val="22"/>
              </w:rPr>
              <w:t>Feed Sentinel AI a minimum of 24 months of historical transaction data to establish behavioral baselines for normal system operations.</w:t>
            </w:r>
          </w:p>
        </w:tc>
        <w:tc>
          <w:tcPr>
            <w:tcW w:type="dxa" w:w="3120"/>
          </w:tcPr>
          <w:p>
            <w:r/>
            <w:r>
              <w:rPr>
                <w:rFonts w:ascii="Times New Roman" w:hAnsi="Times New Roman"/>
                <w:sz w:val="22"/>
              </w:rPr>
              <w:t>Data science and AI team</w:t>
            </w:r>
          </w:p>
        </w:tc>
      </w:tr>
    </w:tbl>
    <w:p/>
    <w:p>
      <w:pPr>
        <w:pStyle w:val="Heading2"/>
      </w:pPr>
      <w:r>
        <w:rPr>
          <w:rFonts w:ascii="Times New Roman" w:hAnsi="Times New Roman" w:eastAsia="Times New Roman"/>
          <w:color w:val="000000"/>
        </w:rPr>
        <w:t>4.2 Phase 2: Layer-by-Layer Deployment (Months 4–8)</w:t>
      </w:r>
    </w:p>
    <w:p>
      <w:pPr>
        <w:spacing w:line="360" w:lineRule="auto"/>
      </w:pPr>
      <w:r>
        <w:rPr>
          <w:rFonts w:ascii="Times New Roman" w:hAnsi="Times New Roman"/>
          <w:b/>
          <w:i w:val="0"/>
          <w:sz w:val="24"/>
        </w:rPr>
        <w:t>Objective: Deploy each TitanVault pillar sequentially using parallel-run methodology.</w:t>
      </w:r>
    </w:p>
    <w:p>
      <w:pPr>
        <w:spacing w:line="360" w:lineRule="auto"/>
        <w:ind w:firstLine="720"/>
      </w:pPr>
      <w:r>
        <w:rPr>
          <w:rFonts w:ascii="Times New Roman" w:hAnsi="Times New Roman"/>
          <w:b w:val="0"/>
          <w:i w:val="0"/>
          <w:sz w:val="24"/>
        </w:rPr>
        <w:t>The parallel-run approach ensures that each new security layer operates alongside the existing security system. If the new component experiences any issues, the system automatically falls back to the existing controls, ensuring zero impact on end users.</w:t>
      </w:r>
    </w:p>
    <w:p>
      <w:pPr>
        <w:pStyle w:val="Heading3"/>
      </w:pPr>
      <w:r>
        <w:rPr>
          <w:rFonts w:ascii="Times New Roman" w:hAnsi="Times New Roman" w:eastAsia="Times New Roman"/>
          <w:color w:val="000000"/>
        </w:rPr>
        <w:t>Months 4–5: Post-Quantum Cryptography Deployment</w:t>
      </w:r>
    </w:p>
    <w:p>
      <w:pPr>
        <w:spacing w:line="360" w:lineRule="auto"/>
      </w:pPr>
      <w:r>
        <w:rPr>
          <w:rFonts w:ascii="Times New Roman" w:hAnsi="Times New Roman"/>
          <w:b w:val="0"/>
          <w:i w:val="0"/>
          <w:sz w:val="24"/>
        </w:rPr>
        <w:t>• Upgrade CebuCoin transaction encryption from RSA-2048 to CRYSTALS-Kyber.</w:t>
      </w:r>
    </w:p>
    <w:p>
      <w:pPr>
        <w:spacing w:line="360" w:lineRule="auto"/>
      </w:pPr>
      <w:r>
        <w:rPr>
          <w:rFonts w:ascii="Times New Roman" w:hAnsi="Times New Roman"/>
          <w:b w:val="0"/>
          <w:i w:val="0"/>
          <w:sz w:val="24"/>
        </w:rPr>
        <w:t>• Implement dual-encryption (legacy + PQC) during transition to ensure backward compatibility.</w:t>
      </w:r>
    </w:p>
    <w:p>
      <w:pPr>
        <w:spacing w:line="360" w:lineRule="auto"/>
      </w:pPr>
      <w:r>
        <w:rPr>
          <w:rFonts w:ascii="Times New Roman" w:hAnsi="Times New Roman"/>
          <w:b w:val="0"/>
          <w:i w:val="0"/>
          <w:sz w:val="24"/>
        </w:rPr>
        <w:t>• Migrate all active smart contracts to CRYSTALS-Dilithium digital signatures.</w:t>
      </w:r>
    </w:p>
    <w:p>
      <w:pPr>
        <w:spacing w:line="360" w:lineRule="auto"/>
      </w:pPr>
      <w:r>
        <w:rPr>
          <w:rFonts w:ascii="Times New Roman" w:hAnsi="Times New Roman"/>
          <w:b w:val="0"/>
          <w:i w:val="0"/>
          <w:sz w:val="24"/>
        </w:rPr>
        <w:t>• Upgrade stored data encryption from AES-128 to AES-256 with PQC key exchange.</w:t>
      </w:r>
    </w:p>
    <w:p>
      <w:pPr>
        <w:pStyle w:val="Heading3"/>
      </w:pPr>
      <w:r>
        <w:rPr>
          <w:rFonts w:ascii="Times New Roman" w:hAnsi="Times New Roman" w:eastAsia="Times New Roman"/>
          <w:color w:val="000000"/>
        </w:rPr>
        <w:t>Months 6–7: Zero Trust Architecture Deployment</w:t>
      </w:r>
    </w:p>
    <w:p>
      <w:pPr>
        <w:spacing w:line="360" w:lineRule="auto"/>
      </w:pPr>
      <w:r>
        <w:rPr>
          <w:rFonts w:ascii="Times New Roman" w:hAnsi="Times New Roman"/>
          <w:b w:val="0"/>
          <w:i w:val="0"/>
          <w:sz w:val="24"/>
        </w:rPr>
        <w:t>• Implement network micro-segmentation across all financial system zones.</w:t>
      </w:r>
    </w:p>
    <w:p>
      <w:pPr>
        <w:spacing w:line="360" w:lineRule="auto"/>
      </w:pPr>
      <w:r>
        <w:rPr>
          <w:rFonts w:ascii="Times New Roman" w:hAnsi="Times New Roman"/>
          <w:b w:val="0"/>
          <w:i w:val="0"/>
          <w:sz w:val="24"/>
        </w:rPr>
        <w:t>• Deploy multi-factor authentication with biometric verification for all system users.</w:t>
      </w:r>
    </w:p>
    <w:p>
      <w:pPr>
        <w:spacing w:line="360" w:lineRule="auto"/>
      </w:pPr>
      <w:r>
        <w:rPr>
          <w:rFonts w:ascii="Times New Roman" w:hAnsi="Times New Roman"/>
          <w:b w:val="0"/>
          <w:i w:val="0"/>
          <w:sz w:val="24"/>
        </w:rPr>
        <w:t>• Establish role-based access control (RBAC) enforcing least-privilege access for over 10,000 financial sector employees.</w:t>
      </w:r>
    </w:p>
    <w:p>
      <w:pPr>
        <w:spacing w:line="360" w:lineRule="auto"/>
      </w:pPr>
      <w:r>
        <w:rPr>
          <w:rFonts w:ascii="Times New Roman" w:hAnsi="Times New Roman"/>
          <w:b w:val="0"/>
          <w:i w:val="0"/>
          <w:sz w:val="24"/>
        </w:rPr>
        <w:t>• Activate continuous session monitoring and re-authentication triggers.</w:t>
      </w:r>
    </w:p>
    <w:p>
      <w:pPr>
        <w:pStyle w:val="Heading3"/>
      </w:pPr>
      <w:r>
        <w:rPr>
          <w:rFonts w:ascii="Times New Roman" w:hAnsi="Times New Roman" w:eastAsia="Times New Roman"/>
          <w:color w:val="000000"/>
        </w:rPr>
        <w:t>Month 8: Sentinel AI Activation</w:t>
      </w:r>
    </w:p>
    <w:p>
      <w:pPr>
        <w:spacing w:line="360" w:lineRule="auto"/>
      </w:pPr>
      <w:r>
        <w:rPr>
          <w:rFonts w:ascii="Times New Roman" w:hAnsi="Times New Roman"/>
          <w:b w:val="0"/>
          <w:i w:val="0"/>
          <w:sz w:val="24"/>
        </w:rPr>
        <w:t>• Transition Sentinel AI from passive observation mode (running since Month 1) to active defense mode.</w:t>
      </w:r>
    </w:p>
    <w:p>
      <w:pPr>
        <w:spacing w:line="360" w:lineRule="auto"/>
      </w:pPr>
      <w:r>
        <w:rPr>
          <w:rFonts w:ascii="Times New Roman" w:hAnsi="Times New Roman"/>
          <w:b w:val="0"/>
          <w:i w:val="0"/>
          <w:sz w:val="24"/>
        </w:rPr>
        <w:t>• Enable real-time transaction monitoring and automated threat response.</w:t>
      </w:r>
    </w:p>
    <w:p>
      <w:pPr>
        <w:spacing w:line="360" w:lineRule="auto"/>
      </w:pPr>
      <w:r>
        <w:rPr>
          <w:rFonts w:ascii="Times New Roman" w:hAnsi="Times New Roman"/>
          <w:b w:val="0"/>
          <w:i w:val="0"/>
          <w:sz w:val="24"/>
        </w:rPr>
        <w:t>• Activate deepfake detection on all video-based financial authorization channels.</w:t>
      </w:r>
    </w:p>
    <w:p>
      <w:pPr>
        <w:spacing w:line="360" w:lineRule="auto"/>
      </w:pPr>
      <w:r>
        <w:rPr>
          <w:rFonts w:ascii="Times New Roman" w:hAnsi="Times New Roman"/>
          <w:b w:val="0"/>
          <w:i w:val="0"/>
          <w:sz w:val="24"/>
        </w:rPr>
        <w:t>• Integrate behavioral biometric authentication across all access points.</w:t>
      </w:r>
    </w:p>
    <w:p>
      <w:pPr>
        <w:pStyle w:val="Heading2"/>
      </w:pPr>
      <w:r>
        <w:rPr>
          <w:rFonts w:ascii="Times New Roman" w:hAnsi="Times New Roman" w:eastAsia="Times New Roman"/>
          <w:color w:val="000000"/>
        </w:rPr>
        <w:t>4.3 Phase 3: Full Migration and Testing (Months 9–12)</w:t>
      </w:r>
    </w:p>
    <w:p>
      <w:pPr>
        <w:spacing w:line="360" w:lineRule="auto"/>
      </w:pPr>
      <w:r>
        <w:rPr>
          <w:rFonts w:ascii="Times New Roman" w:hAnsi="Times New Roman"/>
          <w:b/>
          <w:i w:val="0"/>
          <w:sz w:val="24"/>
        </w:rPr>
        <w:t>Objective: Complete the transition, validate through rigorous testing, and decommission legacy systems.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Task</w:t>
            </w:r>
          </w:p>
        </w:tc>
        <w:tc>
          <w:tcPr>
            <w:tcW w:type="dxa" w:w="4680"/>
          </w:tcPr>
          <w:p>
            <w:r/>
            <w:r>
              <w:rPr>
                <w:rFonts w:ascii="Times New Roman" w:hAnsi="Times New Roman"/>
                <w:b/>
                <w:sz w:val="22"/>
              </w:rPr>
              <w:t>Description</w:t>
            </w:r>
          </w:p>
        </w:tc>
      </w:tr>
      <w:tr>
        <w:tc>
          <w:tcPr>
            <w:tcW w:type="dxa" w:w="4680"/>
          </w:tcPr>
          <w:p>
            <w:r/>
            <w:r>
              <w:rPr>
                <w:rFonts w:ascii="Times New Roman" w:hAnsi="Times New Roman"/>
                <w:sz w:val="22"/>
              </w:rPr>
              <w:t>Legacy System Decommission</w:t>
            </w:r>
          </w:p>
        </w:tc>
        <w:tc>
          <w:tcPr>
            <w:tcW w:type="dxa" w:w="4680"/>
          </w:tcPr>
          <w:p>
            <w:r/>
            <w:r>
              <w:rPr>
                <w:rFonts w:ascii="Times New Roman" w:hAnsi="Times New Roman"/>
                <w:sz w:val="22"/>
              </w:rPr>
              <w:t>Retire all pre-TitanVault encryption standards and access control mechanisms. TitanVault becomes the sole security framework.</w:t>
            </w:r>
          </w:p>
        </w:tc>
      </w:tr>
      <w:tr>
        <w:tc>
          <w:tcPr>
            <w:tcW w:type="dxa" w:w="4680"/>
          </w:tcPr>
          <w:p>
            <w:r/>
            <w:r>
              <w:rPr>
                <w:rFonts w:ascii="Times New Roman" w:hAnsi="Times New Roman"/>
                <w:sz w:val="22"/>
              </w:rPr>
              <w:t>Red Team Exercise</w:t>
            </w:r>
          </w:p>
        </w:tc>
        <w:tc>
          <w:tcPr>
            <w:tcW w:type="dxa" w:w="4680"/>
          </w:tcPr>
          <w:p>
            <w:r/>
            <w:r>
              <w:rPr>
                <w:rFonts w:ascii="Times New Roman" w:hAnsi="Times New Roman"/>
                <w:sz w:val="22"/>
              </w:rPr>
              <w:t>Engage an independent team of ethical hackers to conduct a comprehensive adversarial assessment, simulating all Hydra-Pulse attack vectors: AI attacks, deepfakes, quantum-capable decryption, and social engineering.</w:t>
            </w:r>
          </w:p>
        </w:tc>
      </w:tr>
      <w:tr>
        <w:tc>
          <w:tcPr>
            <w:tcW w:type="dxa" w:w="4680"/>
          </w:tcPr>
          <w:p>
            <w:r/>
            <w:r>
              <w:rPr>
                <w:rFonts w:ascii="Times New Roman" w:hAnsi="Times New Roman"/>
                <w:sz w:val="22"/>
              </w:rPr>
              <w:t>Disaster Recovery Drill</w:t>
            </w:r>
          </w:p>
        </w:tc>
        <w:tc>
          <w:tcPr>
            <w:tcW w:type="dxa" w:w="4680"/>
          </w:tcPr>
          <w:p>
            <w:r/>
            <w:r>
              <w:rPr>
                <w:rFonts w:ascii="Times New Roman" w:hAnsi="Times New Roman"/>
                <w:sz w:val="22"/>
              </w:rPr>
              <w:t>Simulate a coordinated multi-vector attack against all three TitanVault pillars simultaneously to validate system resilience and recovery procedures.</w:t>
            </w:r>
          </w:p>
        </w:tc>
      </w:tr>
      <w:tr>
        <w:tc>
          <w:tcPr>
            <w:tcW w:type="dxa" w:w="4680"/>
          </w:tcPr>
          <w:p>
            <w:r/>
            <w:r>
              <w:rPr>
                <w:rFonts w:ascii="Times New Roman" w:hAnsi="Times New Roman"/>
                <w:sz w:val="22"/>
              </w:rPr>
              <w:t>Public Transparency Report</w:t>
            </w:r>
          </w:p>
        </w:tc>
        <w:tc>
          <w:tcPr>
            <w:tcW w:type="dxa" w:w="4680"/>
          </w:tcPr>
          <w:p>
            <w:r/>
            <w:r>
              <w:rPr>
                <w:rFonts w:ascii="Times New Roman" w:hAnsi="Times New Roman"/>
                <w:sz w:val="22"/>
              </w:rPr>
              <w:t>Publish a public report detailing the security improvements implemented, compliance certifications achieved, and the results of independent testing—building citizen confidence in Neo-Cebu's financial infrastructure.</w:t>
            </w:r>
          </w:p>
        </w:tc>
      </w:tr>
    </w:tbl>
    <w:p/>
    <w:p>
      <w:r>
        <w:br w:type="page"/>
      </w:r>
    </w:p>
    <w:p>
      <w:pPr>
        <w:pStyle w:val="Heading1"/>
      </w:pPr>
      <w:r>
        <w:rPr>
          <w:rFonts w:ascii="Times New Roman" w:hAnsi="Times New Roman" w:eastAsia="Times New Roman"/>
          <w:color w:val="000000"/>
        </w:rPr>
        <w:t>Chapter V: Risk Assessment and CIA Triad Compliance</w:t>
      </w:r>
    </w:p>
    <w:p>
      <w:pPr>
        <w:spacing w:line="360" w:lineRule="auto"/>
        <w:ind w:firstLine="720"/>
      </w:pPr>
      <w:r>
        <w:rPr>
          <w:rFonts w:ascii="Times New Roman" w:hAnsi="Times New Roman"/>
          <w:b w:val="0"/>
          <w:i w:val="0"/>
          <w:sz w:val="24"/>
        </w:rPr>
        <w:t>The CIA Triad—Confidentiality, Integrity, and Availability—constitutes the foundational framework for evaluating information security. This chapter demonstrates how Project TitanVault ensures compliance with each principle, including performance under adversarial stress-test scenarios.</w:t>
      </w:r>
    </w:p>
    <w:p>
      <w:pPr>
        <w:pStyle w:val="Heading2"/>
      </w:pPr>
      <w:r>
        <w:rPr>
          <w:rFonts w:ascii="Times New Roman" w:hAnsi="Times New Roman" w:eastAsia="Times New Roman"/>
          <w:color w:val="000000"/>
        </w:rPr>
        <w:t>5.1 Confidentiality</w:t>
      </w:r>
    </w:p>
    <w:p>
      <w:pPr>
        <w:spacing w:line="360" w:lineRule="auto"/>
        <w:ind w:firstLine="720"/>
      </w:pPr>
      <w:r>
        <w:rPr>
          <w:rFonts w:ascii="Times New Roman" w:hAnsi="Times New Roman"/>
          <w:b w:val="0"/>
          <w:i w:val="0"/>
          <w:sz w:val="24"/>
        </w:rPr>
        <w:t>Confidentiality ensures that sensitive information is accessible only to authorized parties. TitanVault protects confidentiality through a layered approach:</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Defense Layer</w:t>
            </w:r>
          </w:p>
        </w:tc>
        <w:tc>
          <w:tcPr>
            <w:tcW w:type="dxa" w:w="4680"/>
          </w:tcPr>
          <w:p>
            <w:r/>
            <w:r>
              <w:rPr>
                <w:rFonts w:ascii="Times New Roman" w:hAnsi="Times New Roman"/>
                <w:b/>
                <w:sz w:val="22"/>
              </w:rPr>
              <w:t>Confidentiality Mechanism</w:t>
            </w:r>
          </w:p>
        </w:tc>
      </w:tr>
      <w:tr>
        <w:tc>
          <w:tcPr>
            <w:tcW w:type="dxa" w:w="4680"/>
          </w:tcPr>
          <w:p>
            <w:r/>
            <w:r>
              <w:rPr>
                <w:rFonts w:ascii="Times New Roman" w:hAnsi="Times New Roman"/>
                <w:sz w:val="22"/>
              </w:rPr>
              <w:t>Post-Quantum Cryptography</w:t>
            </w:r>
          </w:p>
        </w:tc>
        <w:tc>
          <w:tcPr>
            <w:tcW w:type="dxa" w:w="4680"/>
          </w:tcPr>
          <w:p>
            <w:r/>
            <w:r>
              <w:rPr>
                <w:rFonts w:ascii="Times New Roman" w:hAnsi="Times New Roman"/>
                <w:sz w:val="22"/>
              </w:rPr>
              <w:t>All financial data—both in transit and at rest—is encrypted using CRYSTALS-Kyber, which resists decryption by both classical and quantum computers. Even intercepted data remains unreadable.</w:t>
            </w:r>
          </w:p>
        </w:tc>
      </w:tr>
      <w:tr>
        <w:tc>
          <w:tcPr>
            <w:tcW w:type="dxa" w:w="4680"/>
          </w:tcPr>
          <w:p>
            <w:r/>
            <w:r>
              <w:rPr>
                <w:rFonts w:ascii="Times New Roman" w:hAnsi="Times New Roman"/>
                <w:sz w:val="22"/>
              </w:rPr>
              <w:t>Zero Trust Access Control</w:t>
            </w:r>
          </w:p>
        </w:tc>
        <w:tc>
          <w:tcPr>
            <w:tcW w:type="dxa" w:w="4680"/>
          </w:tcPr>
          <w:p>
            <w:r/>
            <w:r>
              <w:rPr>
                <w:rFonts w:ascii="Times New Roman" w:hAnsi="Times New Roman"/>
                <w:sz w:val="22"/>
              </w:rPr>
              <w:t>Role-based access control ensures that users can only view data relevant to their function. A teller cannot access trading data; a trader cannot access customer personal information.</w:t>
            </w:r>
          </w:p>
        </w:tc>
      </w:tr>
      <w:tr>
        <w:tc>
          <w:tcPr>
            <w:tcW w:type="dxa" w:w="4680"/>
          </w:tcPr>
          <w:p>
            <w:r/>
            <w:r>
              <w:rPr>
                <w:rFonts w:ascii="Times New Roman" w:hAnsi="Times New Roman"/>
                <w:sz w:val="22"/>
              </w:rPr>
              <w:t>Sentinel AI Monitoring</w:t>
            </w:r>
          </w:p>
        </w:tc>
        <w:tc>
          <w:tcPr>
            <w:tcW w:type="dxa" w:w="4680"/>
          </w:tcPr>
          <w:p>
            <w:r/>
            <w:r>
              <w:rPr>
                <w:rFonts w:ascii="Times New Roman" w:hAnsi="Times New Roman"/>
                <w:sz w:val="22"/>
              </w:rPr>
              <w:t>Unauthorized data access attempts are detected in real time through behavioral anomaly detection, triggering immediate account suspension and security alerts.</w:t>
            </w:r>
          </w:p>
        </w:tc>
      </w:tr>
    </w:tbl>
    <w:p/>
    <w:p>
      <w:pPr>
        <w:spacing w:line="360" w:lineRule="auto"/>
      </w:pPr>
      <w:r>
        <w:rPr>
          <w:rFonts w:ascii="Times New Roman" w:hAnsi="Times New Roman"/>
          <w:b/>
          <w:i w:val="0"/>
          <w:sz w:val="24"/>
        </w:rPr>
        <w:t>Stress Test Scenario — Credential Theft:</w:t>
      </w:r>
    </w:p>
    <w:p>
      <w:pPr>
        <w:spacing w:line="360" w:lineRule="auto"/>
        <w:ind w:firstLine="720"/>
      </w:pPr>
      <w:r>
        <w:rPr>
          <w:rFonts w:ascii="Times New Roman" w:hAnsi="Times New Roman"/>
          <w:b w:val="0"/>
          <w:i w:val="0"/>
          <w:sz w:val="24"/>
        </w:rPr>
        <w:t>An attacker obtains a bank employee's login credentials through a phishing attack. Upon login, Zero Trust requires device re-verification—the attacker's device is unrecognized. Simultaneously, Sentinel AI detects that the login behavior (typing speed, navigation pattern) does not match the employee's baseline profile. The account is automatically locked within 5 seconds. Result: Confidentiality maintained.</w:t>
      </w:r>
    </w:p>
    <w:p>
      <w:pPr>
        <w:pStyle w:val="Heading2"/>
      </w:pPr>
      <w:r>
        <w:rPr>
          <w:rFonts w:ascii="Times New Roman" w:hAnsi="Times New Roman" w:eastAsia="Times New Roman"/>
          <w:color w:val="000000"/>
        </w:rPr>
        <w:t>5.2 Integrity</w:t>
      </w:r>
    </w:p>
    <w:p>
      <w:pPr>
        <w:spacing w:line="360" w:lineRule="auto"/>
        <w:ind w:firstLine="720"/>
      </w:pPr>
      <w:r>
        <w:rPr>
          <w:rFonts w:ascii="Times New Roman" w:hAnsi="Times New Roman"/>
          <w:b w:val="0"/>
          <w:i w:val="0"/>
          <w:sz w:val="24"/>
        </w:rPr>
        <w:t>Integrity ensures that data cannot be altered without authorization and detection. TitanVault protects data integrity through:</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Defense Layer</w:t>
            </w:r>
          </w:p>
        </w:tc>
        <w:tc>
          <w:tcPr>
            <w:tcW w:type="dxa" w:w="4680"/>
          </w:tcPr>
          <w:p>
            <w:r/>
            <w:r>
              <w:rPr>
                <w:rFonts w:ascii="Times New Roman" w:hAnsi="Times New Roman"/>
                <w:b/>
                <w:sz w:val="22"/>
              </w:rPr>
              <w:t>Integrity Mechanism</w:t>
            </w:r>
          </w:p>
        </w:tc>
      </w:tr>
      <w:tr>
        <w:tc>
          <w:tcPr>
            <w:tcW w:type="dxa" w:w="4680"/>
          </w:tcPr>
          <w:p>
            <w:r/>
            <w:r>
              <w:rPr>
                <w:rFonts w:ascii="Times New Roman" w:hAnsi="Times New Roman"/>
                <w:sz w:val="22"/>
              </w:rPr>
              <w:t>PQC Digital Signatures (Dilithium)</w:t>
            </w:r>
          </w:p>
        </w:tc>
        <w:tc>
          <w:tcPr>
            <w:tcW w:type="dxa" w:w="4680"/>
          </w:tcPr>
          <w:p>
            <w:r/>
            <w:r>
              <w:rPr>
                <w:rFonts w:ascii="Times New Roman" w:hAnsi="Times New Roman"/>
                <w:sz w:val="22"/>
              </w:rPr>
              <w:t>Every financial transaction is cryptographically signed. Any modification—even a single digit change—invalidates the signature, and the system rejects the transaction.</w:t>
            </w:r>
          </w:p>
        </w:tc>
      </w:tr>
      <w:tr>
        <w:tc>
          <w:tcPr>
            <w:tcW w:type="dxa" w:w="4680"/>
          </w:tcPr>
          <w:p>
            <w:r/>
            <w:r>
              <w:rPr>
                <w:rFonts w:ascii="Times New Roman" w:hAnsi="Times New Roman"/>
                <w:sz w:val="22"/>
              </w:rPr>
              <w:t>Blockchain Immutability</w:t>
            </w:r>
          </w:p>
        </w:tc>
        <w:tc>
          <w:tcPr>
            <w:tcW w:type="dxa" w:w="4680"/>
          </w:tcPr>
          <w:p>
            <w:r/>
            <w:r>
              <w:rPr>
                <w:rFonts w:ascii="Times New Roman" w:hAnsi="Times New Roman"/>
                <w:sz w:val="22"/>
              </w:rPr>
              <w:t>CebuCoin transactions are recorded on an append-only blockchain. Once committed, records cannot be altered retroactively without detection by the network consensus mechanism.</w:t>
            </w:r>
          </w:p>
        </w:tc>
      </w:tr>
      <w:tr>
        <w:tc>
          <w:tcPr>
            <w:tcW w:type="dxa" w:w="4680"/>
          </w:tcPr>
          <w:p>
            <w:r/>
            <w:r>
              <w:rPr>
                <w:rFonts w:ascii="Times New Roman" w:hAnsi="Times New Roman"/>
                <w:sz w:val="22"/>
              </w:rPr>
              <w:t>Sentinel AI — AI Model Integrity Monitoring</w:t>
            </w:r>
          </w:p>
        </w:tc>
        <w:tc>
          <w:tcPr>
            <w:tcW w:type="dxa" w:w="4680"/>
          </w:tcPr>
          <w:p>
            <w:r/>
            <w:r>
              <w:rPr>
                <w:rFonts w:ascii="Times New Roman" w:hAnsi="Times New Roman"/>
                <w:sz w:val="22"/>
              </w:rPr>
              <w:t>Continuously monitors the AutoTrade AI's decision patterns. If the AI's behavior deviates from its trained baseline (indicative of model poisoning), trading operations are suspended for investigation.</w:t>
            </w:r>
          </w:p>
        </w:tc>
      </w:tr>
    </w:tbl>
    <w:p/>
    <w:p>
      <w:pPr>
        <w:spacing w:line="360" w:lineRule="auto"/>
      </w:pPr>
      <w:r>
        <w:rPr>
          <w:rFonts w:ascii="Times New Roman" w:hAnsi="Times New Roman"/>
          <w:b/>
          <w:i w:val="0"/>
          <w:sz w:val="24"/>
        </w:rPr>
        <w:t>Stress Test Scenario — Smart Contract Tampering:</w:t>
      </w:r>
    </w:p>
    <w:p>
      <w:pPr>
        <w:spacing w:line="360" w:lineRule="auto"/>
        <w:ind w:firstLine="720"/>
      </w:pPr>
      <w:r>
        <w:rPr>
          <w:rFonts w:ascii="Times New Roman" w:hAnsi="Times New Roman"/>
          <w:b w:val="0"/>
          <w:i w:val="0"/>
          <w:sz w:val="24"/>
        </w:rPr>
        <w:t>An attacker attempts to modify a smart contract to redirect automated loan payments to a hacker-controlled wallet. The PQC digital signature verification fails because the contract's signature no longer matches its content. The blockchain network rejects the altered contract. Sentinel AI flags the modification attempt and alerts the security team. Result: Integrity maintained.</w:t>
      </w:r>
    </w:p>
    <w:p>
      <w:pPr>
        <w:pStyle w:val="Heading2"/>
      </w:pPr>
      <w:r>
        <w:rPr>
          <w:rFonts w:ascii="Times New Roman" w:hAnsi="Times New Roman" w:eastAsia="Times New Roman"/>
          <w:color w:val="000000"/>
        </w:rPr>
        <w:t>5.3 Availability</w:t>
      </w:r>
    </w:p>
    <w:p>
      <w:pPr>
        <w:spacing w:line="360" w:lineRule="auto"/>
        <w:ind w:firstLine="720"/>
      </w:pPr>
      <w:r>
        <w:rPr>
          <w:rFonts w:ascii="Times New Roman" w:hAnsi="Times New Roman"/>
          <w:b w:val="0"/>
          <w:i w:val="0"/>
          <w:sz w:val="24"/>
        </w:rPr>
        <w:t>Availability ensures that systems and data are accessible to authorized users whenever needed. For a financial system serving over two million users, any downtime directly impacts citizens' ability to conduct essential transactions. TitanVault ensures availability through:</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Defense Layer</w:t>
            </w:r>
          </w:p>
        </w:tc>
        <w:tc>
          <w:tcPr>
            <w:tcW w:type="dxa" w:w="4680"/>
          </w:tcPr>
          <w:p>
            <w:r/>
            <w:r>
              <w:rPr>
                <w:rFonts w:ascii="Times New Roman" w:hAnsi="Times New Roman"/>
                <w:b/>
                <w:sz w:val="22"/>
              </w:rPr>
              <w:t>Availability Mechanism</w:t>
            </w:r>
          </w:p>
        </w:tc>
      </w:tr>
      <w:tr>
        <w:tc>
          <w:tcPr>
            <w:tcW w:type="dxa" w:w="4680"/>
          </w:tcPr>
          <w:p>
            <w:r/>
            <w:r>
              <w:rPr>
                <w:rFonts w:ascii="Times New Roman" w:hAnsi="Times New Roman"/>
                <w:sz w:val="22"/>
              </w:rPr>
              <w:t>Micro-Segmentation</w:t>
            </w:r>
          </w:p>
        </w:tc>
        <w:tc>
          <w:tcPr>
            <w:tcW w:type="dxa" w:w="4680"/>
          </w:tcPr>
          <w:p>
            <w:r/>
            <w:r>
              <w:rPr>
                <w:rFonts w:ascii="Times New Roman" w:hAnsi="Times New Roman"/>
                <w:sz w:val="22"/>
              </w:rPr>
              <w:t>System isolation ensures that an attack or failure in one component does not cascade to others. If the AutoTrade platform is compromised, CebuCoin wallets and smart contracts continue operating independently.</w:t>
            </w:r>
          </w:p>
        </w:tc>
      </w:tr>
      <w:tr>
        <w:tc>
          <w:tcPr>
            <w:tcW w:type="dxa" w:w="4680"/>
          </w:tcPr>
          <w:p>
            <w:r/>
            <w:r>
              <w:rPr>
                <w:rFonts w:ascii="Times New Roman" w:hAnsi="Times New Roman"/>
                <w:sz w:val="22"/>
              </w:rPr>
              <w:t>Geographic Redundancy</w:t>
            </w:r>
          </w:p>
        </w:tc>
        <w:tc>
          <w:tcPr>
            <w:tcW w:type="dxa" w:w="4680"/>
          </w:tcPr>
          <w:p>
            <w:r/>
            <w:r>
              <w:rPr>
                <w:rFonts w:ascii="Times New Roman" w:hAnsi="Times New Roman"/>
                <w:sz w:val="22"/>
              </w:rPr>
              <w:t>Critical systems are replicated across multiple data centers in geographically separate locations. If the primary facility in Cebu IT Park becomes unavailable, backup systems in an alternate facility assume operations automatically.</w:t>
            </w:r>
          </w:p>
        </w:tc>
      </w:tr>
      <w:tr>
        <w:tc>
          <w:tcPr>
            <w:tcW w:type="dxa" w:w="4680"/>
          </w:tcPr>
          <w:p>
            <w:r/>
            <w:r>
              <w:rPr>
                <w:rFonts w:ascii="Times New Roman" w:hAnsi="Times New Roman"/>
                <w:sz w:val="22"/>
              </w:rPr>
              <w:t>Sentinel AI — DDoS Mitigation</w:t>
            </w:r>
          </w:p>
        </w:tc>
        <w:tc>
          <w:tcPr>
            <w:tcW w:type="dxa" w:w="4680"/>
          </w:tcPr>
          <w:p>
            <w:r/>
            <w:r>
              <w:rPr>
                <w:rFonts w:ascii="Times New Roman" w:hAnsi="Times New Roman"/>
                <w:sz w:val="22"/>
              </w:rPr>
              <w:t>Detects Distributed Denial of Service attack patterns in real time and implements traffic filtering, rerouting legitimate requests through clean channels while blocking malicious traffic.</w:t>
            </w:r>
          </w:p>
        </w:tc>
      </w:tr>
      <w:tr>
        <w:tc>
          <w:tcPr>
            <w:tcW w:type="dxa" w:w="4680"/>
          </w:tcPr>
          <w:p>
            <w:r/>
            <w:r>
              <w:rPr>
                <w:rFonts w:ascii="Times New Roman" w:hAnsi="Times New Roman"/>
                <w:sz w:val="22"/>
              </w:rPr>
              <w:t>Phased Deployment Architecture</w:t>
            </w:r>
          </w:p>
        </w:tc>
        <w:tc>
          <w:tcPr>
            <w:tcW w:type="dxa" w:w="4680"/>
          </w:tcPr>
          <w:p>
            <w:r/>
            <w:r>
              <w:rPr>
                <w:rFonts w:ascii="Times New Roman" w:hAnsi="Times New Roman"/>
                <w:sz w:val="22"/>
              </w:rPr>
              <w:t>Legacy systems are maintained as fallback during and after TitanVault deployment, ensuring that production services can be restored to their previous configuration if any component encounters issues.</w:t>
            </w:r>
          </w:p>
        </w:tc>
      </w:tr>
    </w:tbl>
    <w:p/>
    <w:p>
      <w:pPr>
        <w:spacing w:line="360" w:lineRule="auto"/>
      </w:pPr>
      <w:r>
        <w:rPr>
          <w:rFonts w:ascii="Times New Roman" w:hAnsi="Times New Roman"/>
          <w:b/>
          <w:i w:val="0"/>
          <w:sz w:val="24"/>
        </w:rPr>
        <w:t>Stress Test Scenario — DDoS Attack:</w:t>
      </w:r>
    </w:p>
    <w:p>
      <w:pPr>
        <w:spacing w:line="360" w:lineRule="auto"/>
        <w:ind w:firstLine="720"/>
      </w:pPr>
      <w:r>
        <w:rPr>
          <w:rFonts w:ascii="Times New Roman" w:hAnsi="Times New Roman"/>
          <w:b w:val="0"/>
          <w:i w:val="0"/>
          <w:sz w:val="24"/>
        </w:rPr>
        <w:t>A coordinated DDoS attack floods the AutoTrade platform with 10 million fraudulent requests per second. Sentinel AI detects the abnormal traffic spike within 200 milliseconds, activates traffic filtering, and reroutes legitimate user traffic through backup channels. Micro-segmentation prevents the attack from affecting the CebuCoin wallet system or smart contract engine. Geographic redundancy ensures that even if the primary data center is overwhelmed, backup facilities maintain operations. Result: Availability maintained.</w:t>
      </w:r>
    </w:p>
    <w:p>
      <w:pPr>
        <w:pStyle w:val="Heading2"/>
      </w:pPr>
      <w:r>
        <w:rPr>
          <w:rFonts w:ascii="Times New Roman" w:hAnsi="Times New Roman" w:eastAsia="Times New Roman"/>
          <w:color w:val="000000"/>
        </w:rPr>
        <w:t>5.4 Comprehensive Stress Test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22"/>
              </w:rPr>
              <w:t>Attack Scenario</w:t>
            </w:r>
          </w:p>
        </w:tc>
        <w:tc>
          <w:tcPr>
            <w:tcW w:type="dxa" w:w="2340"/>
          </w:tcPr>
          <w:p>
            <w:r/>
            <w:r>
              <w:rPr>
                <w:rFonts w:ascii="Times New Roman" w:hAnsi="Times New Roman"/>
                <w:b/>
                <w:sz w:val="22"/>
              </w:rPr>
              <w:t>CIA Principle Tested</w:t>
            </w:r>
          </w:p>
        </w:tc>
        <w:tc>
          <w:tcPr>
            <w:tcW w:type="dxa" w:w="2340"/>
          </w:tcPr>
          <w:p>
            <w:r/>
            <w:r>
              <w:rPr>
                <w:rFonts w:ascii="Times New Roman" w:hAnsi="Times New Roman"/>
                <w:b/>
                <w:sz w:val="22"/>
              </w:rPr>
              <w:t>TitanVault Response</w:t>
            </w:r>
          </w:p>
        </w:tc>
        <w:tc>
          <w:tcPr>
            <w:tcW w:type="dxa" w:w="2340"/>
          </w:tcPr>
          <w:p>
            <w:r/>
            <w:r>
              <w:rPr>
                <w:rFonts w:ascii="Times New Roman" w:hAnsi="Times New Roman"/>
                <w:b/>
                <w:sz w:val="22"/>
              </w:rPr>
              <w:t>Result</w:t>
            </w:r>
          </w:p>
        </w:tc>
      </w:tr>
      <w:tr>
        <w:tc>
          <w:tcPr>
            <w:tcW w:type="dxa" w:w="2340"/>
          </w:tcPr>
          <w:p>
            <w:r/>
            <w:r>
              <w:rPr>
                <w:rFonts w:ascii="Times New Roman" w:hAnsi="Times New Roman"/>
                <w:sz w:val="22"/>
              </w:rPr>
              <w:t>Credential theft via phishing</w:t>
            </w:r>
          </w:p>
        </w:tc>
        <w:tc>
          <w:tcPr>
            <w:tcW w:type="dxa" w:w="2340"/>
          </w:tcPr>
          <w:p>
            <w:r/>
            <w:r>
              <w:rPr>
                <w:rFonts w:ascii="Times New Roman" w:hAnsi="Times New Roman"/>
                <w:sz w:val="22"/>
              </w:rPr>
              <w:t>Confidentiality</w:t>
            </w:r>
          </w:p>
        </w:tc>
        <w:tc>
          <w:tcPr>
            <w:tcW w:type="dxa" w:w="2340"/>
          </w:tcPr>
          <w:p>
            <w:r/>
            <w:r>
              <w:rPr>
                <w:rFonts w:ascii="Times New Roman" w:hAnsi="Times New Roman"/>
                <w:sz w:val="22"/>
              </w:rPr>
              <w:t>Zero Trust device verification + Sentinel behavioral analysis → account locked</w:t>
            </w:r>
          </w:p>
        </w:tc>
        <w:tc>
          <w:tcPr>
            <w:tcW w:type="dxa" w:w="2340"/>
          </w:tcPr>
          <w:p>
            <w:r/>
            <w:r>
              <w:rPr>
                <w:rFonts w:ascii="Times New Roman" w:hAnsi="Times New Roman"/>
                <w:sz w:val="22"/>
              </w:rPr>
              <w:t>Protected ✓</w:t>
            </w:r>
          </w:p>
        </w:tc>
      </w:tr>
      <w:tr>
        <w:tc>
          <w:tcPr>
            <w:tcW w:type="dxa" w:w="2340"/>
          </w:tcPr>
          <w:p>
            <w:r/>
            <w:r>
              <w:rPr>
                <w:rFonts w:ascii="Times New Roman" w:hAnsi="Times New Roman"/>
                <w:sz w:val="22"/>
              </w:rPr>
              <w:t>Smart contract tampering</w:t>
            </w:r>
          </w:p>
        </w:tc>
        <w:tc>
          <w:tcPr>
            <w:tcW w:type="dxa" w:w="2340"/>
          </w:tcPr>
          <w:p>
            <w:r/>
            <w:r>
              <w:rPr>
                <w:rFonts w:ascii="Times New Roman" w:hAnsi="Times New Roman"/>
                <w:sz w:val="22"/>
              </w:rPr>
              <w:t>Integrity</w:t>
            </w:r>
          </w:p>
        </w:tc>
        <w:tc>
          <w:tcPr>
            <w:tcW w:type="dxa" w:w="2340"/>
          </w:tcPr>
          <w:p>
            <w:r/>
            <w:r>
              <w:rPr>
                <w:rFonts w:ascii="Times New Roman" w:hAnsi="Times New Roman"/>
                <w:sz w:val="22"/>
              </w:rPr>
              <w:t>PQC signature validation failure + blockchain rejection + Sentinel alert</w:t>
            </w:r>
          </w:p>
        </w:tc>
        <w:tc>
          <w:tcPr>
            <w:tcW w:type="dxa" w:w="2340"/>
          </w:tcPr>
          <w:p>
            <w:r/>
            <w:r>
              <w:rPr>
                <w:rFonts w:ascii="Times New Roman" w:hAnsi="Times New Roman"/>
                <w:sz w:val="22"/>
              </w:rPr>
              <w:t>Protected ✓</w:t>
            </w:r>
          </w:p>
        </w:tc>
      </w:tr>
      <w:tr>
        <w:tc>
          <w:tcPr>
            <w:tcW w:type="dxa" w:w="2340"/>
          </w:tcPr>
          <w:p>
            <w:r/>
            <w:r>
              <w:rPr>
                <w:rFonts w:ascii="Times New Roman" w:hAnsi="Times New Roman"/>
                <w:sz w:val="22"/>
              </w:rPr>
              <w:t>DDoS attack on trading platform</w:t>
            </w:r>
          </w:p>
        </w:tc>
        <w:tc>
          <w:tcPr>
            <w:tcW w:type="dxa" w:w="2340"/>
          </w:tcPr>
          <w:p>
            <w:r/>
            <w:r>
              <w:rPr>
                <w:rFonts w:ascii="Times New Roman" w:hAnsi="Times New Roman"/>
                <w:sz w:val="22"/>
              </w:rPr>
              <w:t>Availability</w:t>
            </w:r>
          </w:p>
        </w:tc>
        <w:tc>
          <w:tcPr>
            <w:tcW w:type="dxa" w:w="2340"/>
          </w:tcPr>
          <w:p>
            <w:r/>
            <w:r>
              <w:rPr>
                <w:rFonts w:ascii="Times New Roman" w:hAnsi="Times New Roman"/>
                <w:sz w:val="22"/>
              </w:rPr>
              <w:t>Sentinel traffic filtering + micro-segmentation + geographic failover</w:t>
            </w:r>
          </w:p>
        </w:tc>
        <w:tc>
          <w:tcPr>
            <w:tcW w:type="dxa" w:w="2340"/>
          </w:tcPr>
          <w:p>
            <w:r/>
            <w:r>
              <w:rPr>
                <w:rFonts w:ascii="Times New Roman" w:hAnsi="Times New Roman"/>
                <w:sz w:val="22"/>
              </w:rPr>
              <w:t>Protected ✓</w:t>
            </w:r>
          </w:p>
        </w:tc>
      </w:tr>
      <w:tr>
        <w:tc>
          <w:tcPr>
            <w:tcW w:type="dxa" w:w="2340"/>
          </w:tcPr>
          <w:p>
            <w:r/>
            <w:r>
              <w:rPr>
                <w:rFonts w:ascii="Times New Roman" w:hAnsi="Times New Roman"/>
                <w:sz w:val="22"/>
              </w:rPr>
              <w:t>Quantum decryption attempt</w:t>
            </w:r>
          </w:p>
        </w:tc>
        <w:tc>
          <w:tcPr>
            <w:tcW w:type="dxa" w:w="2340"/>
          </w:tcPr>
          <w:p>
            <w:r/>
            <w:r>
              <w:rPr>
                <w:rFonts w:ascii="Times New Roman" w:hAnsi="Times New Roman"/>
                <w:sz w:val="22"/>
              </w:rPr>
              <w:t>Confidentiality</w:t>
            </w:r>
          </w:p>
        </w:tc>
        <w:tc>
          <w:tcPr>
            <w:tcW w:type="dxa" w:w="2340"/>
          </w:tcPr>
          <w:p>
            <w:r/>
            <w:r>
              <w:rPr>
                <w:rFonts w:ascii="Times New Roman" w:hAnsi="Times New Roman"/>
                <w:sz w:val="22"/>
              </w:rPr>
              <w:t>PQC (CRYSTALS-Kyber) encryption resists quantum attack algorithms</w:t>
            </w:r>
          </w:p>
        </w:tc>
        <w:tc>
          <w:tcPr>
            <w:tcW w:type="dxa" w:w="2340"/>
          </w:tcPr>
          <w:p>
            <w:r/>
            <w:r>
              <w:rPr>
                <w:rFonts w:ascii="Times New Roman" w:hAnsi="Times New Roman"/>
                <w:sz w:val="22"/>
              </w:rPr>
              <w:t>Protected ✓</w:t>
            </w:r>
          </w:p>
        </w:tc>
      </w:tr>
      <w:tr>
        <w:tc>
          <w:tcPr>
            <w:tcW w:type="dxa" w:w="2340"/>
          </w:tcPr>
          <w:p>
            <w:r/>
            <w:r>
              <w:rPr>
                <w:rFonts w:ascii="Times New Roman" w:hAnsi="Times New Roman"/>
                <w:sz w:val="22"/>
              </w:rPr>
              <w:t>AI model poisoning on AutoTrade</w:t>
            </w:r>
          </w:p>
        </w:tc>
        <w:tc>
          <w:tcPr>
            <w:tcW w:type="dxa" w:w="2340"/>
          </w:tcPr>
          <w:p>
            <w:r/>
            <w:r>
              <w:rPr>
                <w:rFonts w:ascii="Times New Roman" w:hAnsi="Times New Roman"/>
                <w:sz w:val="22"/>
              </w:rPr>
              <w:t>Integrity</w:t>
            </w:r>
          </w:p>
        </w:tc>
        <w:tc>
          <w:tcPr>
            <w:tcW w:type="dxa" w:w="2340"/>
          </w:tcPr>
          <w:p>
            <w:r/>
            <w:r>
              <w:rPr>
                <w:rFonts w:ascii="Times New Roman" w:hAnsi="Times New Roman"/>
                <w:sz w:val="22"/>
              </w:rPr>
              <w:t>Sentinel AI baseline deviation detection → trading suspended for investigation</w:t>
            </w:r>
          </w:p>
        </w:tc>
        <w:tc>
          <w:tcPr>
            <w:tcW w:type="dxa" w:w="2340"/>
          </w:tcPr>
          <w:p>
            <w:r/>
            <w:r>
              <w:rPr>
                <w:rFonts w:ascii="Times New Roman" w:hAnsi="Times New Roman"/>
                <w:sz w:val="22"/>
              </w:rPr>
              <w:t>Protected ✓</w:t>
            </w:r>
          </w:p>
        </w:tc>
      </w:tr>
      <w:tr>
        <w:tc>
          <w:tcPr>
            <w:tcW w:type="dxa" w:w="2340"/>
          </w:tcPr>
          <w:p>
            <w:r/>
            <w:r>
              <w:rPr>
                <w:rFonts w:ascii="Times New Roman" w:hAnsi="Times New Roman"/>
                <w:sz w:val="22"/>
              </w:rPr>
              <w:t>Deepfake CEO authorization fraud</w:t>
            </w:r>
          </w:p>
        </w:tc>
        <w:tc>
          <w:tcPr>
            <w:tcW w:type="dxa" w:w="2340"/>
          </w:tcPr>
          <w:p>
            <w:r/>
            <w:r>
              <w:rPr>
                <w:rFonts w:ascii="Times New Roman" w:hAnsi="Times New Roman"/>
                <w:sz w:val="22"/>
              </w:rPr>
              <w:t>Confidentiality + Integrity</w:t>
            </w:r>
          </w:p>
        </w:tc>
        <w:tc>
          <w:tcPr>
            <w:tcW w:type="dxa" w:w="2340"/>
          </w:tcPr>
          <w:p>
            <w:r/>
            <w:r>
              <w:rPr>
                <w:rFonts w:ascii="Times New Roman" w:hAnsi="Times New Roman"/>
                <w:sz w:val="22"/>
              </w:rPr>
              <w:t>Sentinel deepfake detection + Zero Trust multi-factor re-verification</w:t>
            </w:r>
          </w:p>
        </w:tc>
        <w:tc>
          <w:tcPr>
            <w:tcW w:type="dxa" w:w="2340"/>
          </w:tcPr>
          <w:p>
            <w:r/>
            <w:r>
              <w:rPr>
                <w:rFonts w:ascii="Times New Roman" w:hAnsi="Times New Roman"/>
                <w:sz w:val="22"/>
              </w:rPr>
              <w:t>Protected ✓</w:t>
            </w:r>
          </w:p>
        </w:tc>
      </w:tr>
    </w:tbl>
    <w:p/>
    <w:p>
      <w:r>
        <w:br w:type="page"/>
      </w:r>
    </w:p>
    <w:p>
      <w:pPr>
        <w:pStyle w:val="Heading1"/>
      </w:pPr>
      <w:r>
        <w:rPr>
          <w:rFonts w:ascii="Times New Roman" w:hAnsi="Times New Roman" w:eastAsia="Times New Roman"/>
          <w:color w:val="000000"/>
        </w:rPr>
        <w:t>Key Terms Glossary</w:t>
      </w:r>
    </w:p>
    <w:p>
      <w:pPr>
        <w:spacing w:line="360" w:lineRule="auto"/>
      </w:pPr>
      <w:r>
        <w:rPr>
          <w:rFonts w:ascii="Times New Roman" w:hAnsi="Times New Roman"/>
          <w:b/>
          <w:sz w:val="24"/>
        </w:rPr>
        <w:t xml:space="preserve">Hydra-Pulse: </w:t>
      </w:r>
      <w:r>
        <w:rPr>
          <w:rFonts w:ascii="Times New Roman" w:hAnsi="Times New Roman"/>
          <w:sz w:val="24"/>
        </w:rPr>
        <w:t>A collective designation for the modern, multi-vector cyber threats targeting critical infrastructure, including AI-powered attacks, deepfake fraud, quantum computing threats, and advanced social engineering.</w:t>
      </w:r>
    </w:p>
    <w:p>
      <w:pPr>
        <w:spacing w:line="360" w:lineRule="auto"/>
      </w:pPr>
      <w:r>
        <w:rPr>
          <w:rFonts w:ascii="Times New Roman" w:hAnsi="Times New Roman"/>
          <w:b/>
          <w:sz w:val="24"/>
        </w:rPr>
        <w:t xml:space="preserve">Post-Quantum Cryptography (PQC): </w:t>
      </w:r>
      <w:r>
        <w:rPr>
          <w:rFonts w:ascii="Times New Roman" w:hAnsi="Times New Roman"/>
          <w:sz w:val="24"/>
        </w:rPr>
        <w:t>Cryptographic algorithms designed to be secure against attacks by both classical and quantum computers.</w:t>
      </w:r>
    </w:p>
    <w:p>
      <w:pPr>
        <w:spacing w:line="360" w:lineRule="auto"/>
      </w:pPr>
      <w:r>
        <w:rPr>
          <w:rFonts w:ascii="Times New Roman" w:hAnsi="Times New Roman"/>
          <w:b/>
          <w:sz w:val="24"/>
        </w:rPr>
        <w:t xml:space="preserve">CRYSTALS-Kyber: </w:t>
      </w:r>
      <w:r>
        <w:rPr>
          <w:rFonts w:ascii="Times New Roman" w:hAnsi="Times New Roman"/>
          <w:sz w:val="24"/>
        </w:rPr>
        <w:t>A lattice-based key encapsulation mechanism standardized by NIST for quantum-resistant encryption.</w:t>
      </w:r>
    </w:p>
    <w:p>
      <w:pPr>
        <w:spacing w:line="360" w:lineRule="auto"/>
      </w:pPr>
      <w:r>
        <w:rPr>
          <w:rFonts w:ascii="Times New Roman" w:hAnsi="Times New Roman"/>
          <w:b/>
          <w:sz w:val="24"/>
        </w:rPr>
        <w:t xml:space="preserve">CRYSTALS-Dilithium: </w:t>
      </w:r>
      <w:r>
        <w:rPr>
          <w:rFonts w:ascii="Times New Roman" w:hAnsi="Times New Roman"/>
          <w:sz w:val="24"/>
        </w:rPr>
        <w:t>A lattice-based digital signature algorithm standardized by NIST for quantum-resistant authentication.</w:t>
      </w:r>
    </w:p>
    <w:p>
      <w:pPr>
        <w:spacing w:line="360" w:lineRule="auto"/>
      </w:pPr>
      <w:r>
        <w:rPr>
          <w:rFonts w:ascii="Times New Roman" w:hAnsi="Times New Roman"/>
          <w:b/>
          <w:sz w:val="24"/>
        </w:rPr>
        <w:t xml:space="preserve">Zero Trust Architecture (ZTA): </w:t>
      </w:r>
      <w:r>
        <w:rPr>
          <w:rFonts w:ascii="Times New Roman" w:hAnsi="Times New Roman"/>
          <w:sz w:val="24"/>
        </w:rPr>
        <w:t>A security model operating on the principle of "never trust, always verify," requiring continuous authentication and authorization for every access request.</w:t>
      </w:r>
    </w:p>
    <w:p>
      <w:pPr>
        <w:spacing w:line="360" w:lineRule="auto"/>
      </w:pPr>
      <w:r>
        <w:rPr>
          <w:rFonts w:ascii="Times New Roman" w:hAnsi="Times New Roman"/>
          <w:b/>
          <w:sz w:val="24"/>
        </w:rPr>
        <w:t xml:space="preserve">Micro-Segmentation: </w:t>
      </w:r>
      <w:r>
        <w:rPr>
          <w:rFonts w:ascii="Times New Roman" w:hAnsi="Times New Roman"/>
          <w:sz w:val="24"/>
        </w:rPr>
        <w:t>A security technique that divides a network into small, isolated zones, each requiring independent authentication, to limit the lateral movement of attackers.</w:t>
      </w:r>
    </w:p>
    <w:p>
      <w:pPr>
        <w:spacing w:line="360" w:lineRule="auto"/>
      </w:pPr>
      <w:r>
        <w:rPr>
          <w:rFonts w:ascii="Times New Roman" w:hAnsi="Times New Roman"/>
          <w:b/>
          <w:sz w:val="24"/>
        </w:rPr>
        <w:t xml:space="preserve">Sentinel AI: </w:t>
      </w:r>
      <w:r>
        <w:rPr>
          <w:rFonts w:ascii="Times New Roman" w:hAnsi="Times New Roman"/>
          <w:sz w:val="24"/>
        </w:rPr>
        <w:t>An AI-powered threat detection and response system providing continuous, real-time monitoring of financial system activity.</w:t>
      </w:r>
    </w:p>
    <w:p>
      <w:pPr>
        <w:spacing w:line="360" w:lineRule="auto"/>
      </w:pPr>
      <w:r>
        <w:rPr>
          <w:rFonts w:ascii="Times New Roman" w:hAnsi="Times New Roman"/>
          <w:b/>
          <w:sz w:val="24"/>
        </w:rPr>
        <w:t xml:space="preserve">CIA Triad: </w:t>
      </w:r>
      <w:r>
        <w:rPr>
          <w:rFonts w:ascii="Times New Roman" w:hAnsi="Times New Roman"/>
          <w:sz w:val="24"/>
        </w:rPr>
        <w:t>The three fundamental principles of information security: Confidentiality, Integrity, and Availability.</w:t>
      </w:r>
    </w:p>
    <w:p>
      <w:pPr>
        <w:spacing w:line="360" w:lineRule="auto"/>
      </w:pPr>
      <w:r>
        <w:rPr>
          <w:rFonts w:ascii="Times New Roman" w:hAnsi="Times New Roman"/>
          <w:b/>
          <w:sz w:val="24"/>
        </w:rPr>
        <w:t xml:space="preserve">Distributed Denial of Service (DDoS): </w:t>
      </w:r>
      <w:r>
        <w:rPr>
          <w:rFonts w:ascii="Times New Roman" w:hAnsi="Times New Roman"/>
          <w:sz w:val="24"/>
        </w:rPr>
        <w:t>An attack that overwhelms a system by flooding it with enormous volumes of illegitimate traffic, preventing legitimate users from accessing services.</w:t>
      </w:r>
    </w:p>
    <w:p>
      <w:pPr>
        <w:spacing w:line="360" w:lineRule="auto"/>
      </w:pPr>
      <w:r>
        <w:rPr>
          <w:rFonts w:ascii="Times New Roman" w:hAnsi="Times New Roman"/>
          <w:b/>
          <w:sz w:val="24"/>
        </w:rPr>
        <w:t xml:space="preserve">Smart Contract: </w:t>
      </w:r>
      <w:r>
        <w:rPr>
          <w:rFonts w:ascii="Times New Roman" w:hAnsi="Times New Roman"/>
          <w:sz w:val="24"/>
        </w:rPr>
        <w:t>A self-executing program stored on a blockchain that automatically enforces the terms of an agreement when predefined conditions are met.</w:t>
      </w:r>
    </w:p>
    <w:p>
      <w:pPr>
        <w:spacing w:line="360" w:lineRule="auto"/>
      </w:pPr>
      <w:r>
        <w:rPr>
          <w:rFonts w:ascii="Times New Roman" w:hAnsi="Times New Roman"/>
          <w:b/>
          <w:sz w:val="24"/>
        </w:rPr>
        <w:t xml:space="preserve">Deepfake: </w:t>
      </w:r>
      <w:r>
        <w:rPr>
          <w:rFonts w:ascii="Times New Roman" w:hAnsi="Times New Roman"/>
          <w:sz w:val="24"/>
        </w:rPr>
        <w:t>Synthetic media—including video, audio, and images—generated by AI that is designed to convincingly replicate the appearance and voice of real individuals.</w:t>
      </w:r>
    </w:p>
    <w:p>
      <w:pPr>
        <w:spacing w:line="360" w:lineRule="auto"/>
      </w:pPr>
      <w:r>
        <w:rPr>
          <w:rFonts w:ascii="Times New Roman" w:hAnsi="Times New Roman"/>
          <w:b/>
          <w:sz w:val="24"/>
        </w:rPr>
        <w:t xml:space="preserve">Harvest Now, Decrypt Later (HNDL): </w:t>
      </w:r>
      <w:r>
        <w:rPr>
          <w:rFonts w:ascii="Times New Roman" w:hAnsi="Times New Roman"/>
          <w:sz w:val="24"/>
        </w:rPr>
        <w:t>An attack strategy where encrypted data is intercepted and stored today with the intention of decrypting it when sufficiently powerful quantum computers become available.</w:t>
      </w:r>
    </w:p>
    <w:p>
      <w:pPr>
        <w:spacing w:line="360" w:lineRule="auto"/>
      </w:pPr>
      <w:r>
        <w:rPr>
          <w:rFonts w:ascii="Times New Roman" w:hAnsi="Times New Roman"/>
          <w:b/>
          <w:sz w:val="24"/>
        </w:rPr>
        <w:t xml:space="preserve">Man-in-the-Middle (MitM) Attack: </w:t>
      </w:r>
      <w:r>
        <w:rPr>
          <w:rFonts w:ascii="Times New Roman" w:hAnsi="Times New Roman"/>
          <w:sz w:val="24"/>
        </w:rPr>
        <w:t>An attack where the adversary secretly intercepts and potentially alters communication between two parties who believe they are communicating directly.</w:t>
      </w:r>
    </w:p>
    <w:p>
      <w:r>
        <w:br w:type="page"/>
      </w:r>
    </w:p>
    <w:p>
      <w:pPr>
        <w:pStyle w:val="Heading1"/>
      </w:pPr>
      <w:r>
        <w:rPr>
          <w:rFonts w:ascii="Times New Roman" w:hAnsi="Times New Roman" w:eastAsia="Times New Roman"/>
          <w:color w:val="000000"/>
        </w:rPr>
        <w:t>References</w:t>
      </w:r>
    </w:p>
    <w:p>
      <w:pPr>
        <w:spacing w:line="360" w:lineRule="auto"/>
        <w:ind w:left="720" w:hanging="720"/>
      </w:pPr>
      <w:r>
        <w:rPr>
          <w:rFonts w:ascii="Times New Roman" w:hAnsi="Times New Roman"/>
          <w:sz w:val="24"/>
        </w:rPr>
        <w:t>Brewster, T. (2024). "Arup Lost $25 Million in a Deepfake Scam." Forbes. Retrieved from https://www.forbes.com/sites/thomasbrewster/2024/05/17/arup-lost-25-million-deepfake-scam/</w:t>
      </w:r>
    </w:p>
    <w:p>
      <w:pPr>
        <w:spacing w:line="360" w:lineRule="auto"/>
        <w:ind w:left="720" w:hanging="720"/>
      </w:pPr>
      <w:r>
        <w:rPr>
          <w:rFonts w:ascii="Times New Roman" w:hAnsi="Times New Roman"/>
          <w:sz w:val="24"/>
        </w:rPr>
        <w:t>National Institute of Standards and Technology. (2024). "Post-Quantum Cryptography Standardization." NIST. Retrieved from https://csrc.nist.gov/projects/post-quantum-cryptography</w:t>
      </w:r>
    </w:p>
    <w:p>
      <w:pPr>
        <w:spacing w:line="360" w:lineRule="auto"/>
        <w:ind w:left="720" w:hanging="720"/>
      </w:pPr>
      <w:r>
        <w:rPr>
          <w:rFonts w:ascii="Times New Roman" w:hAnsi="Times New Roman"/>
          <w:sz w:val="24"/>
        </w:rPr>
        <w:t>Rose, S., Borchert, O., Mitchell, S., &amp; Connelly, S. (2020). "Zero Trust Architecture." NIST Special Publication 800-207. U.S. Department of Commerce.</w:t>
      </w:r>
    </w:p>
    <w:p>
      <w:pPr>
        <w:spacing w:line="360" w:lineRule="auto"/>
        <w:ind w:left="720" w:hanging="720"/>
      </w:pPr>
      <w:r>
        <w:rPr>
          <w:rFonts w:ascii="Times New Roman" w:hAnsi="Times New Roman"/>
          <w:sz w:val="24"/>
        </w:rPr>
        <w:t>Verizon. (2024). "2024 Data Breach Investigations Report." Verizon Business. Retrieved from https://www.verizon.com/business/resources/reports/dbir/</w:t>
      </w:r>
    </w:p>
    <w:p>
      <w:pPr>
        <w:spacing w:line="360" w:lineRule="auto"/>
        <w:ind w:left="720" w:hanging="720"/>
      </w:pPr>
      <w:r>
        <w:rPr>
          <w:rFonts w:ascii="Times New Roman" w:hAnsi="Times New Roman"/>
          <w:sz w:val="24"/>
        </w:rPr>
        <w:t>Alagic, G., et al. (2022). "Status Report on the Third Round of the NIST Post-Quantum Cryptography Standardization Process." NIST Internal Report 8413.</w:t>
      </w:r>
    </w:p>
    <w:p>
      <w:pPr>
        <w:spacing w:line="360" w:lineRule="auto"/>
        <w:ind w:left="720" w:hanging="720"/>
      </w:pPr>
      <w:r>
        <w:rPr>
          <w:rFonts w:ascii="Times New Roman" w:hAnsi="Times New Roman"/>
          <w:sz w:val="24"/>
        </w:rPr>
        <w:t>IBM Security. (2024). "Cost of a Data Breach Report 2024." IBM Corporation.</w:t>
      </w:r>
    </w:p>
    <w:p>
      <w:pPr>
        <w:spacing w:line="360" w:lineRule="auto"/>
        <w:ind w:left="720" w:hanging="720"/>
      </w:pPr>
      <w:r>
        <w:rPr>
          <w:rFonts w:ascii="Times New Roman" w:hAnsi="Times New Roman"/>
          <w:sz w:val="24"/>
        </w:rPr>
        <w:t>Shor, P. (1994). "Algorithms for Quantum Computation: Discrete Logarithms and Factoring." Proceedings of the 35th Annual Symposium on Foundations of Computer Science, IEEE.</w:t>
      </w:r>
    </w:p>
    <w:p>
      <w:pPr>
        <w:spacing w:line="360" w:lineRule="auto"/>
        <w:ind w:left="720" w:hanging="720"/>
      </w:pPr>
      <w:r>
        <w:rPr>
          <w:rFonts w:ascii="Times New Roman" w:hAnsi="Times New Roman"/>
          <w:sz w:val="24"/>
        </w:rPr>
        <w:t>European Union Agency for Cybersecurity (ENISA). (2023). "Post-Quantum Cryptography: Current State and Quantum Mitigation." ENISA Report.</w:t>
      </w:r>
    </w:p>
    <w:p>
      <w:pPr>
        <w:spacing w:line="360" w:lineRule="auto"/>
        <w:ind w:left="720" w:hanging="720"/>
      </w:pPr>
      <w:r>
        <w:rPr>
          <w:rFonts w:ascii="Times New Roman" w:hAnsi="Times New Roman"/>
          <w:sz w:val="24"/>
        </w:rPr>
        <w:t>Chen, L., et al. (2016). "Report on Post-Quantum Cryptography." NIST Internal Report 8105.</w:t>
      </w:r>
    </w:p>
    <w:p>
      <w:pPr>
        <w:spacing w:line="360" w:lineRule="auto"/>
        <w:ind w:left="720" w:hanging="720"/>
      </w:pPr>
      <w:r>
        <w:rPr>
          <w:rFonts w:ascii="Times New Roman" w:hAnsi="Times New Roman"/>
          <w:sz w:val="24"/>
        </w:rPr>
        <w:t>Mosca, M. (2018). "Cybersecurity in an Era with Quantum Computers: Will We Be Ready?" IEEE Security &amp; Privacy, 16(5), 38-41.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