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heading=h.fqt67wcaz72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 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50rmd8v5sofx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Elderly/Healthcare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Singapore moves toward becoming a super-aged society, the strain on caregivers, healthcare infrastructure, and community support systems keeps growing. 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might we help seniors age in place with dignity and independence, from fall detection and health monitoring to combating social isolation and easing the load on caregivers?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hu4wdcxko2j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Financial Literacy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might we create engaging financial literacy solutions that empower lower-income families, gig workers, and young adults to build savings habits, navigate government support schemes, and achieve long-term financial resilience in Singapore?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heading=h.9r47sdeeuif7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Literacy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might we design trustworthy, easy-to-navigate digital platforms that make fact-checking and media literacy accessible, intuitive, and seamlessly woven into how Singaporeans consume news and social media every day?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8PLF+4xJRE6QTY7LCZjG5EsxQ==">CgMxLjAyDmguZnF0Njd3Y2F6NzJkMg5oLjUwcm1kOHY1c29meDIOaC5odTR3ZGN4a28yamsyDmguOXI0N3NkZWV1aWY3OAByITEtZ25nUXdmaWZIY1JuNXQ5YVMzdmYzRmsxcXlGNmZkQw==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