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Auyon Haque</w:t>
        <w:tab/>
        <w:tab/>
        <w:tab/>
        <w:tab/>
        <w:tab/>
        <w:tab/>
        <w:tab/>
        <w:tab/>
        <w:tab/>
        <w:tab/>
        <w:t xml:space="preserve">4/25/24</w:t>
      </w:r>
    </w:p>
    <w:p w:rsidR="00000000" w:rsidDel="00000000" w:rsidP="00000000" w:rsidRDefault="00000000" w:rsidRPr="00000000" w14:paraId="00000002">
      <w:pPr>
        <w:rPr/>
      </w:pPr>
      <w:r w:rsidDel="00000000" w:rsidR="00000000" w:rsidRPr="00000000">
        <w:rPr>
          <w:rtl w:val="0"/>
        </w:rPr>
        <w:t xml:space="preserve">HW Video analysis</w:t>
        <w:tab/>
        <w:tab/>
        <w:tab/>
        <w:tab/>
        <w:tab/>
        <w:tab/>
        <w:tab/>
        <w:tab/>
        <w:tab/>
        <w:t xml:space="preserve">Prof Heller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Individual Analysis </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Our organizational approach to enhancing the current Data Modeling (DM) architecture is grounded in the strategic integration of User-Defined Datatypes (UDT) and UDT Taxonomies to create a more structured, flexible, and maintainable data environment. By adopting a UDT-driven metadata taxonomy, we emulate the principles of a corporate organizational chart, ensuring that each type of data or 'member' has a defined role and clear relationships within the hierarchy. This approach allows for greater precision and clarity in data representation, akin to how a well-organized team operates within a company, promoting efficiency and streamlining decision-making processes.</w:t>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Incorporating the SOLID principles into our DM architecture further refines our approach. For example, the Single-responsibility principle ensures that each UDT has one purpose, similar to a department within an organization specializing in a specific function. This delineation prevents overlap and confusion, allowing for a design that is simple and intuitive. By treating UDTs as independent entities that only carry out a single responsibility, we maintain clarity and ease of management, akin to having a dedicated team for a unique project, which enhances productivity and focus.</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Lastly, our use of the Open-closed principle from SOLID is shown in our flexible and adaptive modeling structure. We allow for the expansion and modification of our data types without changing the existing architecture, similar to how a building can have new sections without impacting the integrity of the existing structure. An example of this in practice could be the addition of a new UDT for a novel data type that emerges from business growth or technological advancement. This new UDT can be slotted into the existing taxonomy without disrupting the established models, ensuring that our DM architecture can evolve alongside the organization.</w:t>
      </w:r>
    </w:p>
    <w:p w:rsidR="00000000" w:rsidDel="00000000" w:rsidP="00000000" w:rsidRDefault="00000000" w:rsidRPr="00000000" w14:paraId="0000000B">
      <w:pPr>
        <w:ind w:firstLine="72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