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Prithibi Paul</w:t>
        <w:br w:type="textWrapping"/>
        <w:br w:type="textWrapping"/>
        <w:t xml:space="preserve">Individual Analysis on User-Defined Datatype (UDT) Taxonomy for Data 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evolving paradigm of data modeling emphasizes the utilization of User-Defined Datatype (UDT) Taxonomies, a strategy that fosters organization, consistency, and maintainability in data architectures. This analysis draws from the extended methodologies of Steve Hoberman’s requirements gathering process and incorporates his recommendations for adopting UDT Taxonomy as a standard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UDT Taxonomies resonate with the principles of Object-Oriented Programming (OOP) and adhere to the SOLID design framework to create an adaptable, scalable, and robust data architecture. The hierarchical structure of UDT Taxonomy, where domains and subdomains form a layered classification, mirrors the organization of complex systems into more manageable components, making data types easier to define, map, and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Furthermore, the abstraction provided by UDTs serves to simplify database schemas, allowing for domain-specific data types that improve consistency across various data models. The ability to apply UDTs to columns rather than concrete database data types enhances data quality and reduces the likelihood of errors, thus positively influencing decision-making and operational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strategic implementation of UDT Taxonomies extends across different databases within an enterprise, promoting the reuse of standardized UDT names as constants, thus establishing a uniform approach to data management. This not only aids in maintaining data integrity but also ensures that the system design remains flexible and easily adaptable to changing business needs.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the integration of UDT Taxonomies into existing data models exemplifies a forward-thinking approach to database design. It maintains a balance between the abstraction of complex data types and the operational needs of database management, resulting in an architecture that is both resilient and aligned with the strategic objectives of modern enterprises.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