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Zackaria Mamdouh</w:t>
      </w:r>
    </w:p>
    <w:p w:rsidR="00000000" w:rsidDel="00000000" w:rsidP="00000000" w:rsidRDefault="00000000" w:rsidRPr="00000000" w14:paraId="00000002">
      <w:pPr>
        <w:rPr/>
      </w:pPr>
      <w:r w:rsidDel="00000000" w:rsidR="00000000" w:rsidRPr="00000000">
        <w:rPr>
          <w:rtl w:val="0"/>
        </w:rPr>
        <w:t xml:space="preserve">UDT Video Review</w:t>
      </w:r>
    </w:p>
    <w:p w:rsidR="00000000" w:rsidDel="00000000" w:rsidP="00000000" w:rsidRDefault="00000000" w:rsidRPr="00000000" w14:paraId="00000003">
      <w:pPr>
        <w:rPr/>
      </w:pPr>
      <w:r w:rsidDel="00000000" w:rsidR="00000000" w:rsidRPr="00000000">
        <w:rPr>
          <w:rtl w:val="0"/>
        </w:rPr>
        <w:t xml:space="preserve">4/29/2024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UDT (User Defined Datatype) Metadata Taxonomy model is designed to enhance the </w:t>
      </w:r>
    </w:p>
    <w:p w:rsidR="00000000" w:rsidDel="00000000" w:rsidP="00000000" w:rsidRDefault="00000000" w:rsidRPr="00000000" w14:paraId="00000006">
      <w:pPr>
        <w:rPr/>
      </w:pPr>
      <w:r w:rsidDel="00000000" w:rsidR="00000000" w:rsidRPr="00000000">
        <w:rPr>
          <w:rtl w:val="0"/>
        </w:rPr>
        <w:t xml:space="preserve">flexibility and organization of data models, making them more maintainable and easier to search across diverse database environments. The model's intuitive design promotes user adoption while requiring a comprehensive data governance strategy, ensuring effective policies and guidelines are in place for data capture, storage, and management. The model's design draws on SOLID principles, offering a structured and maintainable system by encouraging modularity, abstraction, and a clear hierarchy. Additionally, the model's domain constraints and taxonomies mirror boilerplate documents, enabling reusable templates that clarify and simplify data modeling.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integration of UDT taxonomies and metadata taxonomy provides additional structure to database design. Custom data types are abstracted over existing SQL types, with domain-specific constraints applied to categorize and standardize data organization. The presentation references Steve Hoberman's scorecard review, emphasizing how UDT taxonomies offer unique benefits to the data modeling process, particularly in creating standardized, high-quality models. The Model Development Life Cycle (MDLC) is also introduced, encompassing the complete journey from initial conceptualization to final implementation, emphasizing the importance of careful planning and execution at every stage.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Lastly, the presentation concludes by stressing the importance of integrating UDT taxonomies to enhance data model consistency, accuracy, and adaptability. The KISS (Keep It Simple, Stupid) principle is emphasized, highlighting the need for simplicity and standardization. The model's design allows for extension across different databases, ensuring that UDT names remain consistent. By promoting flexibility, maintainability, and standardization, the UDT Metadata Taxonomy model offers a coherent approach to data modeling, making it easier to manage and search databases effectively across an enterprise.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