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Sabrina Zheng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Individual Analysis on User-Defined Datatype (UDT) Taxonomy for Data Modeling: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modeling is a foundation for discerning business decision-making in an evolving business landscape. Introducing User-Defined Datatype (UDT) Taxonomies is a move toward a modular design methodology that reflects current best practices in componentization. This strategic shift promises simplified data management for central control and scalability. Like OOP concepts, this approach stresses the critical importance of encapsulation, recommending that data elements be managed as independent units of the data ecosystem.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Operational efficiency is emphasized when analyzing UDTs within data element architecture. Treating these elements as independent entities adds agility to the data management lifecycle. This is especially apparent when designing, testing, and reconfiguring data structures - a task now possible with minimal impact on the overarching data model architecture. This skill facilitates a swift response to the dynamic needs of business, underlining a transformative potential in how data is curated and consumed.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addition, the talk highlights a growing awareness of data models as dynamic models that require a certain flexibility. In a departure from rigid frameworks, the espoused philosophy champions adaptable architectures that seamlessly evolve with shifting business landscapes, negating the need for extensive overhauls. This approach aligns with a proactive approach to data management, where pivoting without high costs or delays is beneficial and critical for modern enterprises.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concluding analysis, the forward-thinking strategy of harmonizing taxonomies across diverse database systems emerges as a pivotal move, particularly for sprawling corporate entities. This approach averts integration challenges and also provides a visionary solution. Uniformity across databases simplifies data management and provides the foundation for effective data governance while strengthening the foundation for data quality and accuracy.</w:t>
      </w:r>
    </w:p>
    <w:p w:rsidR="00000000" w:rsidDel="00000000" w:rsidP="00000000" w:rsidRDefault="00000000" w:rsidRPr="00000000" w14:paraId="0000000C">
      <w:pPr>
        <w:rPr/>
      </w:pPr>
      <w:r w:rsidDel="00000000" w:rsidR="00000000" w:rsidRPr="00000000">
        <w:rPr>
          <w:rtl w:val="0"/>
        </w:rPr>
        <w:t xml:space="preserve">The strategy described in the presentation is a new direction for reworking data modeling processes. It enables businesses to adapt quickly to a data-driven world while ensuring the highest data quality and structural integrity standards.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