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7F41B" w14:textId="77777777" w:rsidR="00F50088" w:rsidRPr="003B2BD0" w:rsidRDefault="00000000" w:rsidP="003B2BD0">
      <w:pPr>
        <w:pStyle w:val="Heading1"/>
        <w:jc w:val="center"/>
        <w:rPr>
          <w:rFonts w:ascii="Times New Roman" w:hAnsi="Times New Roman" w:cs="Times New Roman"/>
          <w:color w:val="auto"/>
        </w:rPr>
      </w:pPr>
      <w:r w:rsidRPr="003B2BD0">
        <w:rPr>
          <w:rFonts w:ascii="Times New Roman" w:hAnsi="Times New Roman" w:cs="Times New Roman"/>
          <w:color w:val="auto"/>
        </w:rPr>
        <w:t>Customer Marketing Insights Dashboard Report</w:t>
      </w:r>
    </w:p>
    <w:p w14:paraId="5D1C89F2" w14:textId="77777777" w:rsidR="00F50088" w:rsidRPr="003B2BD0" w:rsidRDefault="00000000">
      <w:pPr>
        <w:pStyle w:val="Heading2"/>
        <w:rPr>
          <w:rFonts w:ascii="Times New Roman" w:hAnsi="Times New Roman" w:cs="Times New Roman"/>
          <w:color w:val="auto"/>
        </w:rPr>
      </w:pPr>
      <w:r w:rsidRPr="003B2BD0">
        <w:rPr>
          <w:rFonts w:ascii="Times New Roman" w:hAnsi="Times New Roman" w:cs="Times New Roman"/>
          <w:color w:val="auto"/>
        </w:rPr>
        <w:t>1. Overview</w:t>
      </w:r>
    </w:p>
    <w:p w14:paraId="2AE4F676"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The Customer Marketing Insights Dashboard provides a detailed analysis of customer behavior, spending patterns, and marketing response rates. It enables data-driven decisions by identifying key customer segments, spending trends, and engagement levels across different demographic attributes.</w:t>
      </w:r>
    </w:p>
    <w:p w14:paraId="2CCFD5C6" w14:textId="77777777" w:rsidR="00F50088" w:rsidRPr="003B2BD0" w:rsidRDefault="00000000" w:rsidP="003B2BD0">
      <w:pPr>
        <w:pStyle w:val="Heading2"/>
        <w:jc w:val="both"/>
        <w:rPr>
          <w:rFonts w:ascii="Times New Roman" w:hAnsi="Times New Roman" w:cs="Times New Roman"/>
          <w:color w:val="auto"/>
        </w:rPr>
      </w:pPr>
      <w:r w:rsidRPr="003B2BD0">
        <w:rPr>
          <w:rFonts w:ascii="Times New Roman" w:hAnsi="Times New Roman" w:cs="Times New Roman"/>
          <w:color w:val="auto"/>
        </w:rPr>
        <w:t>2. Key Metrics</w:t>
      </w:r>
    </w:p>
    <w:p w14:paraId="3C48DCA7"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The dashboard highlights the following key performance metrics:</w:t>
      </w:r>
    </w:p>
    <w:p w14:paraId="5245D6B2"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 Total Customers: 2,240</w:t>
      </w:r>
    </w:p>
    <w:p w14:paraId="5C4A574F"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 Total Spending: 1M</w:t>
      </w:r>
    </w:p>
    <w:p w14:paraId="2B045A13"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 Average Spending: 605.80</w:t>
      </w:r>
    </w:p>
    <w:p w14:paraId="610065B7"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 Response Rate: 0.15</w:t>
      </w:r>
    </w:p>
    <w:p w14:paraId="674AFD03" w14:textId="77777777" w:rsidR="00F50088" w:rsidRPr="003B2BD0" w:rsidRDefault="00000000">
      <w:pPr>
        <w:pStyle w:val="Heading2"/>
        <w:rPr>
          <w:rFonts w:ascii="Times New Roman" w:hAnsi="Times New Roman" w:cs="Times New Roman"/>
          <w:color w:val="auto"/>
        </w:rPr>
      </w:pPr>
      <w:r w:rsidRPr="003B2BD0">
        <w:rPr>
          <w:rFonts w:ascii="Times New Roman" w:hAnsi="Times New Roman" w:cs="Times New Roman"/>
          <w:color w:val="auto"/>
        </w:rPr>
        <w:t>3. Key Insights</w:t>
      </w:r>
    </w:p>
    <w:p w14:paraId="42D94CA2"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 Married customers form the largest group, accounting for 38.57% of the total customer base.</w:t>
      </w:r>
    </w:p>
    <w:p w14:paraId="255DB5F3"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 The majority of spending is contributed by customers born between 1950 and 1980, indicating a middle-aged demographic with higher purchasing power.</w:t>
      </w:r>
    </w:p>
    <w:p w14:paraId="1719EF9D"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 Strong correlation observed between store purchases and web/catalog purchases, showing multi-channel engagement among customers.</w:t>
      </w:r>
    </w:p>
    <w:p w14:paraId="590A26B0"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 Higher wine spending tends to align with fruit spending, suggesting premium buying preferences among certain customer groups.</w:t>
      </w:r>
    </w:p>
    <w:p w14:paraId="757B00CE"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 Recent customers show more spending compared to older ones, reflecting effective recent marketing campaigns.</w:t>
      </w:r>
    </w:p>
    <w:p w14:paraId="0ADADAFF" w14:textId="77777777" w:rsidR="00F50088" w:rsidRPr="003B2BD0" w:rsidRDefault="00000000">
      <w:pPr>
        <w:pStyle w:val="Heading2"/>
        <w:rPr>
          <w:rFonts w:ascii="Times New Roman" w:hAnsi="Times New Roman" w:cs="Times New Roman"/>
          <w:color w:val="auto"/>
        </w:rPr>
      </w:pPr>
      <w:r w:rsidRPr="003B2BD0">
        <w:rPr>
          <w:rFonts w:ascii="Times New Roman" w:hAnsi="Times New Roman" w:cs="Times New Roman"/>
          <w:color w:val="auto"/>
        </w:rPr>
        <w:t>4. DAX Measure – Response Rate</w:t>
      </w:r>
    </w:p>
    <w:p w14:paraId="09101B5E" w14:textId="77777777" w:rsidR="00F50088" w:rsidRPr="003B2BD0" w:rsidRDefault="00000000" w:rsidP="003B2BD0">
      <w:pPr>
        <w:rPr>
          <w:rFonts w:ascii="Times New Roman" w:hAnsi="Times New Roman" w:cs="Times New Roman"/>
          <w:sz w:val="24"/>
          <w:szCs w:val="24"/>
        </w:rPr>
      </w:pPr>
      <w:r w:rsidRPr="003B2BD0">
        <w:rPr>
          <w:rFonts w:ascii="Times New Roman" w:hAnsi="Times New Roman" w:cs="Times New Roman"/>
          <w:sz w:val="24"/>
          <w:szCs w:val="24"/>
        </w:rPr>
        <w:t>A DAX measure was created to calculate the Response Rate, which measures customer engagement based on campaign participation. The formula used is as follows:</w:t>
      </w:r>
    </w:p>
    <w:p w14:paraId="49F69780" w14:textId="531F3633" w:rsidR="00F50088" w:rsidRPr="003B2BD0" w:rsidRDefault="00000000" w:rsidP="003B2BD0">
      <w:pPr>
        <w:rPr>
          <w:rFonts w:ascii="Times New Roman" w:hAnsi="Times New Roman" w:cs="Times New Roman"/>
          <w:sz w:val="24"/>
          <w:szCs w:val="24"/>
        </w:rPr>
      </w:pPr>
      <w:r w:rsidRPr="003B2BD0">
        <w:rPr>
          <w:rFonts w:ascii="Times New Roman" w:hAnsi="Times New Roman" w:cs="Times New Roman"/>
          <w:sz w:val="24"/>
          <w:szCs w:val="24"/>
        </w:rPr>
        <w:t>Response</w:t>
      </w:r>
      <w:r w:rsidR="003B2BD0">
        <w:rPr>
          <w:rFonts w:ascii="Times New Roman" w:hAnsi="Times New Roman" w:cs="Times New Roman"/>
          <w:sz w:val="24"/>
          <w:szCs w:val="24"/>
        </w:rPr>
        <w:t xml:space="preserve"> </w:t>
      </w:r>
      <w:proofErr w:type="gramStart"/>
      <w:r w:rsidRPr="003B2BD0">
        <w:rPr>
          <w:rFonts w:ascii="Times New Roman" w:hAnsi="Times New Roman" w:cs="Times New Roman"/>
          <w:sz w:val="24"/>
          <w:szCs w:val="24"/>
        </w:rPr>
        <w:t>Rate</w:t>
      </w:r>
      <w:r w:rsidR="003B2BD0">
        <w:rPr>
          <w:rFonts w:ascii="Times New Roman" w:hAnsi="Times New Roman" w:cs="Times New Roman"/>
          <w:sz w:val="24"/>
          <w:szCs w:val="24"/>
        </w:rPr>
        <w:t xml:space="preserve"> </w:t>
      </w:r>
      <w:r w:rsidRPr="003B2BD0">
        <w:rPr>
          <w:rFonts w:ascii="Times New Roman" w:hAnsi="Times New Roman" w:cs="Times New Roman"/>
          <w:sz w:val="24"/>
          <w:szCs w:val="24"/>
        </w:rPr>
        <w:t xml:space="preserve"> =</w:t>
      </w:r>
      <w:proofErr w:type="gramEnd"/>
      <w:r w:rsidRPr="003B2BD0">
        <w:rPr>
          <w:rFonts w:ascii="Times New Roman" w:hAnsi="Times New Roman" w:cs="Times New Roman"/>
          <w:sz w:val="24"/>
          <w:szCs w:val="24"/>
        </w:rPr>
        <w:t>DIVIDE(SUM(</w:t>
      </w:r>
      <w:proofErr w:type="gramStart"/>
      <w:r w:rsidRPr="003B2BD0">
        <w:rPr>
          <w:rFonts w:ascii="Times New Roman" w:hAnsi="Times New Roman" w:cs="Times New Roman"/>
          <w:sz w:val="24"/>
          <w:szCs w:val="24"/>
        </w:rPr>
        <w:t>Marketing[</w:t>
      </w:r>
      <w:proofErr w:type="gramEnd"/>
      <w:r w:rsidRPr="003B2BD0">
        <w:rPr>
          <w:rFonts w:ascii="Times New Roman" w:hAnsi="Times New Roman" w:cs="Times New Roman"/>
          <w:sz w:val="24"/>
          <w:szCs w:val="24"/>
        </w:rPr>
        <w:t>Responses]), COUNT(</w:t>
      </w:r>
      <w:proofErr w:type="gramStart"/>
      <w:r w:rsidRPr="003B2BD0">
        <w:rPr>
          <w:rFonts w:ascii="Times New Roman" w:hAnsi="Times New Roman" w:cs="Times New Roman"/>
          <w:sz w:val="24"/>
          <w:szCs w:val="24"/>
        </w:rPr>
        <w:t>Marketing[</w:t>
      </w:r>
      <w:proofErr w:type="spellStart"/>
      <w:proofErr w:type="gramEnd"/>
      <w:r w:rsidRPr="003B2BD0">
        <w:rPr>
          <w:rFonts w:ascii="Times New Roman" w:hAnsi="Times New Roman" w:cs="Times New Roman"/>
          <w:sz w:val="24"/>
          <w:szCs w:val="24"/>
        </w:rPr>
        <w:t>CustomerID</w:t>
      </w:r>
      <w:proofErr w:type="spellEnd"/>
      <w:r w:rsidRPr="003B2BD0">
        <w:rPr>
          <w:rFonts w:ascii="Times New Roman" w:hAnsi="Times New Roman" w:cs="Times New Roman"/>
          <w:sz w:val="24"/>
          <w:szCs w:val="24"/>
        </w:rPr>
        <w:t>]), 0)</w:t>
      </w:r>
    </w:p>
    <w:p w14:paraId="141EE5BD" w14:textId="77777777" w:rsidR="00F50088" w:rsidRPr="003B2BD0" w:rsidRDefault="00000000" w:rsidP="003B2BD0">
      <w:pPr>
        <w:rPr>
          <w:rFonts w:ascii="Times New Roman" w:hAnsi="Times New Roman" w:cs="Times New Roman"/>
          <w:sz w:val="24"/>
          <w:szCs w:val="24"/>
        </w:rPr>
      </w:pPr>
      <w:r w:rsidRPr="003B2BD0">
        <w:rPr>
          <w:rFonts w:ascii="Times New Roman" w:hAnsi="Times New Roman" w:cs="Times New Roman"/>
          <w:sz w:val="24"/>
          <w:szCs w:val="24"/>
        </w:rPr>
        <w:t>This measure helps evaluate how effectively marketing campaigns convert outreach into active responses.</w:t>
      </w:r>
    </w:p>
    <w:p w14:paraId="00604E25" w14:textId="77777777" w:rsidR="00F50088" w:rsidRPr="003B2BD0" w:rsidRDefault="00000000">
      <w:pPr>
        <w:pStyle w:val="Heading2"/>
        <w:rPr>
          <w:rFonts w:ascii="Times New Roman" w:hAnsi="Times New Roman" w:cs="Times New Roman"/>
          <w:color w:val="auto"/>
        </w:rPr>
      </w:pPr>
      <w:r w:rsidRPr="003B2BD0">
        <w:rPr>
          <w:rFonts w:ascii="Times New Roman" w:hAnsi="Times New Roman" w:cs="Times New Roman"/>
          <w:color w:val="auto"/>
        </w:rPr>
        <w:lastRenderedPageBreak/>
        <w:t>5. Slicer Interaction</w:t>
      </w:r>
    </w:p>
    <w:p w14:paraId="09A283B0" w14:textId="77777777" w:rsidR="00F50088" w:rsidRPr="003B2BD0" w:rsidRDefault="00000000">
      <w:pPr>
        <w:rPr>
          <w:rFonts w:ascii="Times New Roman" w:hAnsi="Times New Roman" w:cs="Times New Roman"/>
          <w:sz w:val="24"/>
          <w:szCs w:val="24"/>
        </w:rPr>
      </w:pPr>
      <w:r w:rsidRPr="003B2BD0">
        <w:rPr>
          <w:rFonts w:ascii="Times New Roman" w:hAnsi="Times New Roman" w:cs="Times New Roman"/>
          <w:sz w:val="24"/>
          <w:szCs w:val="24"/>
        </w:rPr>
        <w:t>Slicers were implemented for Marital Status, Recency Bucket, and Education to allow interactive filtering. Users can easily analyze spending and response patterns across different customer demographics, helping to refine targeted marketing strategies.</w:t>
      </w:r>
    </w:p>
    <w:p w14:paraId="3AA2AACA" w14:textId="77777777" w:rsidR="00F50088" w:rsidRPr="003B2BD0" w:rsidRDefault="00000000">
      <w:pPr>
        <w:pStyle w:val="Heading2"/>
        <w:rPr>
          <w:rFonts w:ascii="Times New Roman" w:hAnsi="Times New Roman" w:cs="Times New Roman"/>
          <w:color w:val="auto"/>
        </w:rPr>
      </w:pPr>
      <w:r w:rsidRPr="003B2BD0">
        <w:rPr>
          <w:rFonts w:ascii="Times New Roman" w:hAnsi="Times New Roman" w:cs="Times New Roman"/>
          <w:color w:val="auto"/>
        </w:rPr>
        <w:t>6. Conditional Formatting</w:t>
      </w:r>
    </w:p>
    <w:p w14:paraId="0D7EE3EA" w14:textId="77777777" w:rsidR="00F50088" w:rsidRPr="003B2BD0" w:rsidRDefault="00000000" w:rsidP="003B2BD0">
      <w:pPr>
        <w:jc w:val="both"/>
        <w:rPr>
          <w:rFonts w:ascii="Times New Roman" w:hAnsi="Times New Roman" w:cs="Times New Roman"/>
          <w:sz w:val="24"/>
          <w:szCs w:val="24"/>
        </w:rPr>
      </w:pPr>
      <w:r w:rsidRPr="003B2BD0">
        <w:rPr>
          <w:rFonts w:ascii="Times New Roman" w:hAnsi="Times New Roman" w:cs="Times New Roman"/>
          <w:sz w:val="24"/>
          <w:szCs w:val="24"/>
        </w:rPr>
        <w:t>Conditional formatting was applied to highlight high-spending categories and segments. For instance, darker tones were used for higher purchase counts and lighter tones for lower engagement levels. This visual differentiation supports quick identification of valuable customer segments.</w:t>
      </w:r>
    </w:p>
    <w:p w14:paraId="57FA38B6" w14:textId="77777777" w:rsidR="00F50088" w:rsidRPr="003B2BD0" w:rsidRDefault="00000000">
      <w:pPr>
        <w:pStyle w:val="Heading2"/>
        <w:rPr>
          <w:rFonts w:ascii="Times New Roman" w:hAnsi="Times New Roman" w:cs="Times New Roman"/>
          <w:color w:val="auto"/>
        </w:rPr>
      </w:pPr>
      <w:r w:rsidRPr="003B2BD0">
        <w:rPr>
          <w:rFonts w:ascii="Times New Roman" w:hAnsi="Times New Roman" w:cs="Times New Roman"/>
          <w:color w:val="auto"/>
        </w:rPr>
        <w:t>7. Conclusion</w:t>
      </w:r>
    </w:p>
    <w:p w14:paraId="355E7A81" w14:textId="77777777" w:rsidR="00F50088" w:rsidRPr="003B2BD0" w:rsidRDefault="00000000">
      <w:pPr>
        <w:rPr>
          <w:rFonts w:ascii="Times New Roman" w:hAnsi="Times New Roman" w:cs="Times New Roman"/>
          <w:sz w:val="24"/>
          <w:szCs w:val="24"/>
        </w:rPr>
      </w:pPr>
      <w:r w:rsidRPr="003B2BD0">
        <w:rPr>
          <w:rFonts w:ascii="Times New Roman" w:hAnsi="Times New Roman" w:cs="Times New Roman"/>
          <w:sz w:val="24"/>
          <w:szCs w:val="24"/>
        </w:rPr>
        <w:t>The Customer Marketing Insights Dashboard consolidates key customer data into actionable insights. By integrating DAX measures, slicers, and visual formatting, it provides a holistic view of customer behavior and marketing performance. These insights can guide decisions on targeted promotions, product recommendations, and customer retention strategies.</w:t>
      </w:r>
    </w:p>
    <w:sectPr w:rsidR="00F50088" w:rsidRPr="003B2B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604695">
    <w:abstractNumId w:val="8"/>
  </w:num>
  <w:num w:numId="2" w16cid:durableId="2059816268">
    <w:abstractNumId w:val="6"/>
  </w:num>
  <w:num w:numId="3" w16cid:durableId="1356079785">
    <w:abstractNumId w:val="5"/>
  </w:num>
  <w:num w:numId="4" w16cid:durableId="759643561">
    <w:abstractNumId w:val="4"/>
  </w:num>
  <w:num w:numId="5" w16cid:durableId="1030911250">
    <w:abstractNumId w:val="7"/>
  </w:num>
  <w:num w:numId="6" w16cid:durableId="1449399568">
    <w:abstractNumId w:val="3"/>
  </w:num>
  <w:num w:numId="7" w16cid:durableId="708147299">
    <w:abstractNumId w:val="2"/>
  </w:num>
  <w:num w:numId="8" w16cid:durableId="218057953">
    <w:abstractNumId w:val="1"/>
  </w:num>
  <w:num w:numId="9" w16cid:durableId="922223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2BD0"/>
    <w:rsid w:val="005E3266"/>
    <w:rsid w:val="00AA1D8D"/>
    <w:rsid w:val="00B47730"/>
    <w:rsid w:val="00CB0664"/>
    <w:rsid w:val="00F500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46B44"/>
  <w14:defaultImageDpi w14:val="300"/>
  <w15:docId w15:val="{628C9ABD-63EF-4C8C-971D-D9521024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ingle9030@gmail.com</cp:lastModifiedBy>
  <cp:revision>2</cp:revision>
  <dcterms:created xsi:type="dcterms:W3CDTF">2025-11-07T13:05:00Z</dcterms:created>
  <dcterms:modified xsi:type="dcterms:W3CDTF">2025-11-07T13:05:00Z</dcterms:modified>
  <cp:category/>
</cp:coreProperties>
</file>