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Early Prediction of Sepsis from ICU Time-Series Data</w:t>
      </w:r>
    </w:p>
    <w:p>
      <w:pPr>
        <w:jc w:val="center"/>
      </w:pPr>
      <w:r>
        <w:rPr>
          <w:color w:val="4A4A4A"/>
          <w:sz w:val="28"/>
        </w:rPr>
        <w:t>Using Gated Recurrent Units with Temporal Attention</w:t>
      </w:r>
    </w:p>
    <w:p/>
    <w:p>
      <w:pPr>
        <w:jc w:val="center"/>
      </w:pPr>
      <w:r>
        <w:rPr>
          <w:color w:val="666666"/>
          <w:sz w:val="24"/>
        </w:rPr>
        <w:t>PhysioNet/Computing in Cardiology Challenge 2019</w:t>
        <w:br/>
        <w:br/>
        <w:t>March 2026</w:t>
      </w:r>
    </w:p>
    <w:p>
      <w:r>
        <w:br w:type="page"/>
      </w:r>
    </w:p>
    <w:p>
      <w:pPr>
        <w:pStyle w:val="Heading1"/>
      </w:pPr>
      <w:r>
        <w:t>Table of Contents</w:t>
      </w:r>
    </w:p>
    <w:p>
      <w:pPr>
        <w:spacing w:after="40" w:before="0"/>
      </w:pPr>
      <w:r>
        <w:t>1. Introduction</w:t>
      </w:r>
    </w:p>
    <w:p>
      <w:pPr>
        <w:spacing w:after="40" w:before="0"/>
      </w:pPr>
      <w:r>
        <w:t>2. Dataset</w:t>
      </w:r>
    </w:p>
    <w:p>
      <w:pPr>
        <w:spacing w:after="40" w:before="0"/>
      </w:pPr>
      <w:r>
        <w:t>3. Preprocessing Pipeline</w:t>
      </w:r>
    </w:p>
    <w:p>
      <w:pPr>
        <w:spacing w:after="40" w:before="0"/>
      </w:pPr>
      <w:r>
        <w:t>4. Feature Engineering</w:t>
      </w:r>
    </w:p>
    <w:p>
      <w:pPr>
        <w:spacing w:after="40" w:before="0"/>
      </w:pPr>
      <w:r>
        <w:t>5. Model Architectures</w:t>
      </w:r>
    </w:p>
    <w:p>
      <w:pPr>
        <w:spacing w:after="40" w:before="0"/>
      </w:pPr>
      <w:r>
        <w:t xml:space="preserve">   5.1 LightGBM Baseline</w:t>
      </w:r>
    </w:p>
    <w:p>
      <w:pPr>
        <w:spacing w:after="40" w:before="0"/>
      </w:pPr>
      <w:r>
        <w:t xml:space="preserve">   5.2 GRU with Temporal Attention</w:t>
      </w:r>
    </w:p>
    <w:p>
      <w:pPr>
        <w:spacing w:after="40" w:before="0"/>
      </w:pPr>
      <w:r>
        <w:t xml:space="preserve">   5.3 Architectural Considerations</w:t>
      </w:r>
    </w:p>
    <w:p>
      <w:pPr>
        <w:spacing w:after="40" w:before="0"/>
      </w:pPr>
      <w:r>
        <w:t>6. Training Methodology</w:t>
      </w:r>
    </w:p>
    <w:p>
      <w:pPr>
        <w:spacing w:after="40" w:before="0"/>
      </w:pPr>
      <w:r>
        <w:t>7. Evaluation Metric: Utility Score</w:t>
      </w:r>
    </w:p>
    <w:p>
      <w:pPr>
        <w:spacing w:after="40" w:before="0"/>
      </w:pPr>
      <w:r>
        <w:t>8. Hyperparameter Optimization</w:t>
      </w:r>
    </w:p>
    <w:p>
      <w:pPr>
        <w:spacing w:after="40" w:before="0"/>
      </w:pPr>
      <w:r>
        <w:t>9. Results</w:t>
      </w:r>
    </w:p>
    <w:p>
      <w:pPr>
        <w:spacing w:after="40" w:before="0"/>
      </w:pPr>
      <w:r>
        <w:t>10. Explainability Analysis</w:t>
      </w:r>
    </w:p>
    <w:p>
      <w:pPr>
        <w:spacing w:after="40" w:before="0"/>
      </w:pPr>
      <w:r>
        <w:t>11. Technical Challenges and Solutions</w:t>
      </w:r>
    </w:p>
    <w:p>
      <w:pPr>
        <w:spacing w:after="40" w:before="0"/>
      </w:pPr>
      <w:r>
        <w:t>12. Conclusions and Future Work</w:t>
      </w:r>
    </w:p>
    <w:p>
      <w:pPr>
        <w:spacing w:after="40" w:before="0"/>
      </w:pPr>
      <w:r>
        <w:t>References</w:t>
      </w:r>
    </w:p>
    <w:p>
      <w:r>
        <w:br w:type="page"/>
      </w:r>
    </w:p>
    <w:p>
      <w:pPr>
        <w:pStyle w:val="Heading1"/>
      </w:pPr>
      <w:r>
        <w:t>1. Introduction</w:t>
      </w:r>
    </w:p>
    <w:p>
      <w:r>
        <w:t>Sepsis is a life-threatening organ dysfunction caused by a dysregulated host response to infection. It remains one of the leading causes of morbidity and mortality in intensive care units worldwide, affecting approximately 49 million people annually and contributing to an estimated 11 million deaths globally, according to the World Health Organization. In the United States alone, sepsis accounts for over $24 billion in annual hospital costs, making it the most expensive condition treated in hospitals. The clinical trajectory of sepsis is characterized by a narrow therapeutic window: for every hour that appropriate treatment is delayed after the onset of septic shock, mortality increases by approximately 7-8%. This stark reality underscores the critical importance of early detection.</w:t>
      </w:r>
    </w:p>
    <w:p>
      <w:r>
        <w:t>Despite decades of clinical research, early identification of sepsis remains a formidable challenge. The condition presents with highly heterogeneous symptoms that overlap with many non-septic conditions, and traditional screening tools such as the Systemic Inflammatory Response Syndrome (SIRS) criteria and the Sequential Organ Failure Assessment (SOFA) score often lack the sensitivity and specificity needed for timely intervention. Laboratory confirmation of infection through blood cultures can take 24-72 hours, by which time irreversible organ damage may have already occurred. These limitations have motivated the exploration of machine learning approaches that can leverage the wealth of continuous monitoring data available in modern ICU settings.</w:t>
      </w:r>
    </w:p>
    <w:p>
      <w:r>
        <w:t>This project addresses the PhysioNet/Computing in Cardiology Challenge 2019, which posed the task of predicting sepsis onset from routinely collected ICU data up to six hours before clinical recognition. The challenge provided a standardized dataset and evaluation framework, enabling rigorous comparison across approaches. Our work develops a complete machine learning pipeline for this task, encompassing data preprocessing, feature engineering, model development, hyperparameter optimization, and clinical explainability analysis. The primary contributions of this project are threefold: (1) a robust preprocessing pipeline that addresses the extreme missingness inherent in clinical time-series data, (2) a bidirectional GRU model with temporal attention that achieves competitive performance while maintaining interpretability, and (3) a comprehensive explainability analysis that connects model behavior to clinical reasoning.</w:t>
      </w:r>
    </w:p>
    <w:p>
      <w:pPr>
        <w:pStyle w:val="Heading1"/>
      </w:pPr>
      <w:r>
        <w:t>2. Dataset</w:t>
      </w:r>
    </w:p>
    <w:p>
      <w:r>
        <w:t>The dataset for this project originates from the PhysioNet/Computing in Cardiology Challenge 2019, comprising ICU records from approximately 40,336 patients collected across two hospital systems: Beth Israel Deaconess Medical Center (training set A, 20,336 patients) and Emory University Hospital (training set B, 20,000 patients). Each patient's record is stored as a pipe-separated values (PSV) file containing hourly observations of 40 clinical variables plus a binary sepsis label. The records vary substantially in length, ranging from a single hour to several hundred hours of ICU monitoring, with a median stay of approximately 30-40 hours.</w:t>
      </w:r>
    </w:p>
    <w:p>
      <w:r>
        <w:t>The 40 clinical variables are organized into three physiological categories. The first group consists of 8 vital signs that are recorded most frequently: heart rate (HR), oxygen saturation (O2Sat), temperature (Temp), systolic blood pressure (SBP), mean arterial pressure (MAP), diastolic blood pressure (DBP), respiration rate (Resp), and end-tidal CO2 (EtCO2). The second group comprises 26 laboratory values that are measured intermittently as part of clinical care, including metabolic panels (glucose, creatinine, BUN, electrolytes), liver function tests (bilirubin, AST, alkaline phosphatase), hematological parameters (WBC, platelets, hemoglobin, hematocrit), coagulation markers (PTT, fibrinogen), blood gas measurements (pH, PaCO2, PaO2, SaO2, base excess, HCO3, FiO2), and the critical sepsis biomarker lactate. The third group contains 6 demographic and administrative variables: age, gender, ICU unit identifiers (Unit1, Unit2), time of hospital admission relative to ICU admission (HospAdmTime), and ICU length of stay in hours (ICULOS).</w:t>
      </w:r>
    </w:p>
    <w:p/>
    <w:tbl>
      <w:tblPr>
        <w:tblStyle w:val="TableGrid"/>
        <w:tblW w:type="auto" w:w="0"/>
        <w:jc w:val="center"/>
        <w:tblLook w:firstColumn="1" w:firstRow="1" w:lastColumn="0" w:lastRow="0" w:noHBand="0" w:noVBand="1" w:val="04A0"/>
      </w:tblPr>
      <w:tblGrid>
        <w:gridCol w:w="4320"/>
        <w:gridCol w:w="4320"/>
      </w:tblGrid>
      <w:tr>
        <w:tc>
          <w:tcPr>
            <w:tcW w:type="dxa" w:w="3402"/>
            <w:shd w:fill="D9E2F3" w:val="clear"/>
          </w:tcPr>
          <w:p>
            <w:r>
              <w:rPr>
                <w:b/>
                <w:sz w:val="18"/>
              </w:rPr>
              <w:t>Property</w:t>
            </w:r>
          </w:p>
        </w:tc>
        <w:tc>
          <w:tcPr>
            <w:tcW w:type="dxa" w:w="5669"/>
            <w:shd w:fill="D9E2F3" w:val="clear"/>
          </w:tcPr>
          <w:p>
            <w:r>
              <w:rPr>
                <w:b/>
                <w:sz w:val="18"/>
              </w:rPr>
              <w:t>Value</w:t>
            </w:r>
          </w:p>
        </w:tc>
      </w:tr>
      <w:tr>
        <w:tc>
          <w:tcPr>
            <w:tcW w:type="dxa" w:w="3402"/>
          </w:tcPr>
          <w:p>
            <w:r>
              <w:rPr>
                <w:sz w:val="18"/>
              </w:rPr>
              <w:t>Total patients</w:t>
            </w:r>
          </w:p>
        </w:tc>
        <w:tc>
          <w:tcPr>
            <w:tcW w:type="dxa" w:w="5669"/>
          </w:tcPr>
          <w:p>
            <w:r>
              <w:rPr>
                <w:sz w:val="18"/>
              </w:rPr>
              <w:t>~40,336</w:t>
            </w:r>
          </w:p>
        </w:tc>
      </w:tr>
      <w:tr>
        <w:tc>
          <w:tcPr>
            <w:tcW w:type="dxa" w:w="3402"/>
          </w:tcPr>
          <w:p>
            <w:r>
              <w:rPr>
                <w:sz w:val="18"/>
              </w:rPr>
              <w:t>Training set A (BIDMC)</w:t>
            </w:r>
          </w:p>
        </w:tc>
        <w:tc>
          <w:tcPr>
            <w:tcW w:type="dxa" w:w="5669"/>
          </w:tcPr>
          <w:p>
            <w:r>
              <w:rPr>
                <w:sz w:val="18"/>
              </w:rPr>
              <w:t>20,336 patients</w:t>
            </w:r>
          </w:p>
        </w:tc>
      </w:tr>
      <w:tr>
        <w:tc>
          <w:tcPr>
            <w:tcW w:type="dxa" w:w="3402"/>
          </w:tcPr>
          <w:p>
            <w:r>
              <w:rPr>
                <w:sz w:val="18"/>
              </w:rPr>
              <w:t>Training set B (Emory)</w:t>
            </w:r>
          </w:p>
        </w:tc>
        <w:tc>
          <w:tcPr>
            <w:tcW w:type="dxa" w:w="5669"/>
          </w:tcPr>
          <w:p>
            <w:r>
              <w:rPr>
                <w:sz w:val="18"/>
              </w:rPr>
              <w:t>20,000 patients</w:t>
            </w:r>
          </w:p>
        </w:tc>
      </w:tr>
      <w:tr>
        <w:tc>
          <w:tcPr>
            <w:tcW w:type="dxa" w:w="3402"/>
          </w:tcPr>
          <w:p>
            <w:r>
              <w:rPr>
                <w:sz w:val="18"/>
              </w:rPr>
              <w:t>Variables per hour</w:t>
            </w:r>
          </w:p>
        </w:tc>
        <w:tc>
          <w:tcPr>
            <w:tcW w:type="dxa" w:w="5669"/>
          </w:tcPr>
          <w:p>
            <w:r>
              <w:rPr>
                <w:sz w:val="18"/>
              </w:rPr>
              <w:t>40 clinical + 1 label</w:t>
            </w:r>
          </w:p>
        </w:tc>
      </w:tr>
      <w:tr>
        <w:tc>
          <w:tcPr>
            <w:tcW w:type="dxa" w:w="3402"/>
          </w:tcPr>
          <w:p>
            <w:r>
              <w:rPr>
                <w:sz w:val="18"/>
              </w:rPr>
              <w:t>Vital signs</w:t>
            </w:r>
          </w:p>
        </w:tc>
        <w:tc>
          <w:tcPr>
            <w:tcW w:type="dxa" w:w="5669"/>
          </w:tcPr>
          <w:p>
            <w:r>
              <w:rPr>
                <w:sz w:val="18"/>
              </w:rPr>
              <w:t>8 (HR, O2Sat, Temp, SBP, MAP, DBP, Resp, EtCO2)</w:t>
            </w:r>
          </w:p>
        </w:tc>
      </w:tr>
      <w:tr>
        <w:tc>
          <w:tcPr>
            <w:tcW w:type="dxa" w:w="3402"/>
          </w:tcPr>
          <w:p>
            <w:r>
              <w:rPr>
                <w:sz w:val="18"/>
              </w:rPr>
              <w:t>Laboratory values</w:t>
            </w:r>
          </w:p>
        </w:tc>
        <w:tc>
          <w:tcPr>
            <w:tcW w:type="dxa" w:w="5669"/>
          </w:tcPr>
          <w:p>
            <w:r>
              <w:rPr>
                <w:sz w:val="18"/>
              </w:rPr>
              <w:t>26</w:t>
            </w:r>
          </w:p>
        </w:tc>
      </w:tr>
      <w:tr>
        <w:tc>
          <w:tcPr>
            <w:tcW w:type="dxa" w:w="3402"/>
          </w:tcPr>
          <w:p>
            <w:r>
              <w:rPr>
                <w:sz w:val="18"/>
              </w:rPr>
              <w:t>Demographics</w:t>
            </w:r>
          </w:p>
        </w:tc>
        <w:tc>
          <w:tcPr>
            <w:tcW w:type="dxa" w:w="5669"/>
          </w:tcPr>
          <w:p>
            <w:r>
              <w:rPr>
                <w:sz w:val="18"/>
              </w:rPr>
              <w:t>6 (Age, Gender, Unit1, Unit2, HospAdmTime, ICULOS)</w:t>
            </w:r>
          </w:p>
        </w:tc>
      </w:tr>
      <w:tr>
        <w:tc>
          <w:tcPr>
            <w:tcW w:type="dxa" w:w="3402"/>
          </w:tcPr>
          <w:p>
            <w:r>
              <w:rPr>
                <w:sz w:val="18"/>
              </w:rPr>
              <w:t>Sepsis prevalence</w:t>
            </w:r>
          </w:p>
        </w:tc>
        <w:tc>
          <w:tcPr>
            <w:tcW w:type="dxa" w:w="5669"/>
          </w:tcPr>
          <w:p>
            <w:r>
              <w:rPr>
                <w:sz w:val="18"/>
              </w:rPr>
              <w:t>~7% of patients</w:t>
            </w:r>
          </w:p>
        </w:tc>
      </w:tr>
      <w:tr>
        <w:tc>
          <w:tcPr>
            <w:tcW w:type="dxa" w:w="3402"/>
          </w:tcPr>
          <w:p>
            <w:r>
              <w:rPr>
                <w:sz w:val="18"/>
              </w:rPr>
              <w:t>Hourly sepsis rate</w:t>
            </w:r>
          </w:p>
        </w:tc>
        <w:tc>
          <w:tcPr>
            <w:tcW w:type="dxa" w:w="5669"/>
          </w:tcPr>
          <w:p>
            <w:r>
              <w:rPr>
                <w:sz w:val="18"/>
              </w:rPr>
              <w:t>~1.8% of records</w:t>
            </w:r>
          </w:p>
        </w:tc>
      </w:tr>
      <w:tr>
        <w:tc>
          <w:tcPr>
            <w:tcW w:type="dxa" w:w="3402"/>
          </w:tcPr>
          <w:p>
            <w:r>
              <w:rPr>
                <w:sz w:val="18"/>
              </w:rPr>
              <w:t>Median stay length</w:t>
            </w:r>
          </w:p>
        </w:tc>
        <w:tc>
          <w:tcPr>
            <w:tcW w:type="dxa" w:w="5669"/>
          </w:tcPr>
          <w:p>
            <w:r>
              <w:rPr>
                <w:sz w:val="18"/>
              </w:rPr>
              <w:t>~30-40 hours</w:t>
            </w:r>
          </w:p>
        </w:tc>
      </w:tr>
      <w:tr>
        <w:tc>
          <w:tcPr>
            <w:tcW w:type="dxa" w:w="3402"/>
          </w:tcPr>
          <w:p>
            <w:r>
              <w:rPr>
                <w:sz w:val="18"/>
              </w:rPr>
              <w:t>Recording frequency</w:t>
            </w:r>
          </w:p>
        </w:tc>
        <w:tc>
          <w:tcPr>
            <w:tcW w:type="dxa" w:w="5669"/>
          </w:tcPr>
          <w:p>
            <w:r>
              <w:rPr>
                <w:sz w:val="18"/>
              </w:rPr>
              <w:t>Hourly</w:t>
            </w:r>
          </w:p>
        </w:tc>
      </w:tr>
    </w:tbl>
    <w:p/>
    <w:p>
      <w:r>
        <w:t>One of the most significant challenges of this dataset is the extreme degree of missingness in the clinical variables. Vital signs, which are recorded by bedside monitors, exhibit relatively modest missingness rates of approximately 1-15%. However, laboratory values are measured only when clinically indicated, resulting in missingness rates that commonly exceed 80% and reach as high as 97% for certain analytes such as EtCO2, fibrinogen, and troponin I. This missingness is not random; it is informative. The decision to order a laboratory test is itself a clinical action driven by the clinician's assessment of the patient's condition. A sudden increase in laboratory ordering frequency may signal clinical concern about deterioration, even before the test results themselves reveal abnormalities. Our preprocessing pipeline explicitly captures these missingness patterns as features, as detailed in Section 3.</w:t>
      </w:r>
    </w:p>
    <w:p>
      <w:r>
        <w:t>Class imbalance represents another substantial challenge. Approximately 7% of patients develop sepsis at some point during their ICU stay, and within those patients, the sepsis label is only positive for a subset of their hourly records, resulting in an overall hourly positive rate of roughly 1.8%. This severe imbalance means that a naive classifier predicting all-negative would achieve over 98% accuracy, rendering standard accuracy metrics useless for model evaluation. The challenge organizers addressed this by introducing a custom utility score that explicitly accounts for the clinical value of timely prediction, as described in Section 7.</w:t>
      </w:r>
    </w:p>
    <w:p>
      <w:pPr>
        <w:pStyle w:val="Heading1"/>
      </w:pPr>
      <w:r>
        <w:t>3. Preprocessing Pipeline</w:t>
      </w:r>
    </w:p>
    <w:p>
      <w:r>
        <w:t>The preprocessing pipeline transforms raw PSV files into model-ready tensors through a sequence of carefully designed steps. Each step addresses a specific challenge inherent in clinical time-series data, and the overall design prioritizes clinical validity by ensuring that no future information leaks into past observations.</w:t>
      </w:r>
    </w:p>
    <w:p>
      <w:pPr>
        <w:pStyle w:val="Heading2"/>
      </w:pPr>
      <w:r>
        <w:t>Data Loading</w:t>
      </w:r>
    </w:p>
    <w:p>
      <w:r>
        <w:t>Raw patient data is loaded from PSV files using the preprocessing module. Each file corresponds to a single patient and contains a tabular record of hourly observations across all 41 columns (40 features plus the SepsisLabel target). The loading function reads files from both training set directories (training_setA and training_setB) and organizes them into a dictionary keyed by patient ID, which is extracted from the filename. An optional max_patients parameter allows limiting the number of loaded patients for rapid prototyping and debugging.</w:t>
      </w:r>
    </w:p>
    <w:p>
      <w:pPr>
        <w:pStyle w:val="Heading2"/>
      </w:pPr>
      <w:r>
        <w:t>Forward-Fill Imputation</w:t>
      </w:r>
    </w:p>
    <w:p>
      <w:r>
        <w:t>The first imputation step applies forward-fill within each patient's time series. This strategy carries the last observed value forward to fill subsequent missing entries, implementing the clinical assumption that a patient's physiological state persists until a new measurement indicates otherwise. Crucially, forward-fill operates strictly in the temporal direction: it never uses future values to fill past gaps, which would constitute data leakage. Leading NaN values that occur before the first observation of a given feature remain unfilled at this stage and are handled by the subsequent population-level imputation step.</w:t>
      </w:r>
    </w:p>
    <w:p>
      <w:pPr>
        <w:pStyle w:val="Heading2"/>
      </w:pPr>
      <w:r>
        <w:t>Population-Level Imputation</w:t>
      </w:r>
    </w:p>
    <w:p>
      <w:r>
        <w:t>After forward-filling, any remaining missing values are imputed using population-level statistics computed exclusively from the training set. For each of the 40 input features, the training-set median is calculated across all patients and all time steps after forward-filling. These median values serve as fill values for any remaining NaNs, which typically correspond to features that were never measured for a given patient. The use of training-set statistics prevents information leakage from the validation set. When a feature's median is itself undefined (due to complete missingness across the training set), a default value of zero is used.</w:t>
      </w:r>
    </w:p>
    <w:p>
      <w:pPr>
        <w:pStyle w:val="Heading2"/>
      </w:pPr>
      <w:r>
        <w:t>Missingness Masks and Time-Since Features</w:t>
      </w:r>
    </w:p>
    <w:p>
      <w:r>
        <w:t>Before any imputation is performed, the pipeline captures two types of missingness information from the raw data. First, binary missingness masks are created for each of the 40 input features, where a value of 1 indicates that the original observation was missing and 0 indicates it was present. These masks allow the model to distinguish between imputed and genuinely observed values, which is essential given the informative nature of clinical missingness.</w:t>
      </w:r>
    </w:p>
    <w:p>
      <w:r>
        <w:t>Second, time-since-last-observation features are computed for each variable. At each time step, this feature records the number of hours elapsed since the most recent real observation of that variable. When a measurement is taken, the counter resets to zero; for each subsequent missing hour, it increments by one. Before the first observation in a patient's record, the counter begins at 1 and increases. These time-since features encode temporal density of measurement, providing the model with information about how stale each imputed value might be. A large time-since value for a vital sign, for instance, signals that the current imputed value may no longer reflect the patient's actual state.</w:t>
      </w:r>
    </w:p>
    <w:p>
      <w:pPr>
        <w:pStyle w:val="Heading2"/>
      </w:pPr>
      <w:r>
        <w:t>Normalization</w:t>
      </w:r>
    </w:p>
    <w:p>
      <w:r>
        <w:t>After imputation, the 40 value features are normalized using z-score standardization with winsorizing. For each feature, the 1st and 99th percentiles are computed from the training set. Values are first clipped to these bounds to reduce the influence of extreme outliers, which are common in clinical data due to measurement artifacts and physiological extremes. The clipped values are then standardized by subtracting the mean and dividing by the standard deviation, both computed from the clipped training data. For constant-valued features (standard deviation of zero), a standard deviation of 1.0 is used to avoid division by zero. Missingness masks and time-since features are not normalized, as they already have natural scales (binary and integer-valued, respectively).</w:t>
      </w:r>
    </w:p>
    <w:p>
      <w:pPr>
        <w:pStyle w:val="Heading2"/>
      </w:pPr>
      <w:r>
        <w:t>Train/Validation Split</w:t>
      </w:r>
    </w:p>
    <w:p>
      <w:r>
        <w:t>The dataset is split into training and validation sets at the patient level using an 85/15 ratio with a fixed random seed of 42 for reproducibility. Patient-level splitting is critical for clinical prediction tasks: splitting at the individual record level would allow the model to see future observations from the same patient during training, creating an artificially optimistic evaluation. With patient-level splitting, all hourly records from a given patient belong entirely to either the training or validation set.</w:t>
      </w:r>
    </w:p>
    <w:p>
      <w:pPr>
        <w:pStyle w:val="Heading2"/>
      </w:pPr>
      <w:r>
        <w:t>Sliding Window Construction</w:t>
      </w:r>
    </w:p>
    <w:p>
      <w:r>
        <w:t>The PyTorch dataset implementation converts the variable-length patient records into fixed-length input windows for the model. For each patient hour that requires a prediction, a sliding window of the preceding 24 hours (configurable via the seq_length parameter) is extracted. For early hours where fewer than 24 hours of history are available, the window is left-padded with zeros and a binary padding mask is created to indicate which positions contain real data. This padding mask is passed to the attention mechanism, which uses it to prevent the model from attending to padded positions. Each sample in the dataset thus consists of four components: the feature window (24 x 120), the binary label, the padding mask (24,), the patient ID, and the hour index within the patient's stay.</w:t>
      </w:r>
    </w:p>
    <w:p>
      <w:pPr>
        <w:pStyle w:val="Heading2"/>
      </w:pPr>
      <w:r>
        <w:t>Caching</w:t>
      </w:r>
    </w:p>
    <w:p>
      <w:r>
        <w:t>Preprocessing approximately 40,000 patients is computationally intensive, requiring roughly 10-15 minutes. To avoid repeating this work across training runs, the pipeline implements a caching mechanism. After the first preprocessing pass, all processed DataFrames along with population statistics are serialized to a pickle file in the data/processed/ directory. The cache filename includes a SHA-256 hash of the relevant configuration parameters (sequence length, validation split, max patients, input size, and random seed), ensuring that different configurations produce separate cache files. On subsequent runs, the pipeline checks whether a valid cache exists and whether it is newer than the raw data; if so, it loads the cached data directly, reducing startup time from minutes to seconds.</w:t>
      </w:r>
    </w:p>
    <w:p>
      <w:pPr>
        <w:pStyle w:val="Heading1"/>
      </w:pPr>
      <w:r>
        <w:t>4. Feature Engineering</w:t>
      </w:r>
    </w:p>
    <w:p>
      <w:r>
        <w:t>The feature engineering pipeline transforms the original 40 clinical variables into a 120-dimensional feature vector at each time step. This expansion is achieved by augmenting the raw values with two additional representations that capture the measurement process itself, rather than just the measured values.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D9E2F3" w:val="clear"/>
          </w:tcPr>
          <w:p>
            <w:r>
              <w:rPr>
                <w:b/>
                <w:sz w:val="18"/>
              </w:rPr>
              <w:t>Feature Type</w:t>
            </w:r>
          </w:p>
        </w:tc>
        <w:tc>
          <w:tcPr>
            <w:tcW w:type="dxa" w:w="1134"/>
            <w:shd w:fill="D9E2F3" w:val="clear"/>
          </w:tcPr>
          <w:p>
            <w:r>
              <w:rPr>
                <w:b/>
                <w:sz w:val="18"/>
              </w:rPr>
              <w:t>Count</w:t>
            </w:r>
          </w:p>
        </w:tc>
        <w:tc>
          <w:tcPr>
            <w:tcW w:type="dxa" w:w="3402"/>
            <w:shd w:fill="D9E2F3" w:val="clear"/>
          </w:tcPr>
          <w:p>
            <w:r>
              <w:rPr>
                <w:b/>
                <w:sz w:val="18"/>
              </w:rPr>
              <w:t>Description</w:t>
            </w:r>
          </w:p>
        </w:tc>
        <w:tc>
          <w:tcPr>
            <w:tcW w:type="dxa" w:w="2835"/>
            <w:shd w:fill="D9E2F3" w:val="clear"/>
          </w:tcPr>
          <w:p>
            <w:r>
              <w:rPr>
                <w:b/>
                <w:sz w:val="18"/>
              </w:rPr>
              <w:t>Example</w:t>
            </w:r>
          </w:p>
        </w:tc>
      </w:tr>
      <w:tr>
        <w:tc>
          <w:tcPr>
            <w:tcW w:type="dxa" w:w="2268"/>
          </w:tcPr>
          <w:p>
            <w:r>
              <w:rPr>
                <w:sz w:val="18"/>
              </w:rPr>
              <w:t>Raw values</w:t>
            </w:r>
          </w:p>
        </w:tc>
        <w:tc>
          <w:tcPr>
            <w:tcW w:type="dxa" w:w="1134"/>
          </w:tcPr>
          <w:p>
            <w:r>
              <w:rPr>
                <w:sz w:val="18"/>
              </w:rPr>
              <w:t>40</w:t>
            </w:r>
          </w:p>
        </w:tc>
        <w:tc>
          <w:tcPr>
            <w:tcW w:type="dxa" w:w="3402"/>
          </w:tcPr>
          <w:p>
            <w:r>
              <w:rPr>
                <w:sz w:val="18"/>
              </w:rPr>
              <w:t>Normalized clinical measurements</w:t>
            </w:r>
          </w:p>
        </w:tc>
        <w:tc>
          <w:tcPr>
            <w:tcW w:type="dxa" w:w="2835"/>
          </w:tcPr>
          <w:p>
            <w:r>
              <w:rPr>
                <w:sz w:val="18"/>
              </w:rPr>
              <w:t>HR = 0.85 (z-scored)</w:t>
            </w:r>
          </w:p>
        </w:tc>
      </w:tr>
      <w:tr>
        <w:tc>
          <w:tcPr>
            <w:tcW w:type="dxa" w:w="2268"/>
          </w:tcPr>
          <w:p>
            <w:r>
              <w:rPr>
                <w:sz w:val="18"/>
              </w:rPr>
              <w:t>Missingness masks</w:t>
            </w:r>
          </w:p>
        </w:tc>
        <w:tc>
          <w:tcPr>
            <w:tcW w:type="dxa" w:w="1134"/>
          </w:tcPr>
          <w:p>
            <w:r>
              <w:rPr>
                <w:sz w:val="18"/>
              </w:rPr>
              <w:t>40</w:t>
            </w:r>
          </w:p>
        </w:tc>
        <w:tc>
          <w:tcPr>
            <w:tcW w:type="dxa" w:w="3402"/>
          </w:tcPr>
          <w:p>
            <w:r>
              <w:rPr>
                <w:sz w:val="18"/>
              </w:rPr>
              <w:t>Binary: 1 = originally missing</w:t>
            </w:r>
          </w:p>
        </w:tc>
        <w:tc>
          <w:tcPr>
            <w:tcW w:type="dxa" w:w="2835"/>
          </w:tcPr>
          <w:p>
            <w:r>
              <w:rPr>
                <w:sz w:val="18"/>
              </w:rPr>
              <w:t>HR_missing = 0</w:t>
            </w:r>
          </w:p>
        </w:tc>
      </w:tr>
      <w:tr>
        <w:tc>
          <w:tcPr>
            <w:tcW w:type="dxa" w:w="2268"/>
          </w:tcPr>
          <w:p>
            <w:r>
              <w:rPr>
                <w:sz w:val="18"/>
              </w:rPr>
              <w:t>Time-since features</w:t>
            </w:r>
          </w:p>
        </w:tc>
        <w:tc>
          <w:tcPr>
            <w:tcW w:type="dxa" w:w="1134"/>
          </w:tcPr>
          <w:p>
            <w:r>
              <w:rPr>
                <w:sz w:val="18"/>
              </w:rPr>
              <w:t>40</w:t>
            </w:r>
          </w:p>
        </w:tc>
        <w:tc>
          <w:tcPr>
            <w:tcW w:type="dxa" w:w="3402"/>
          </w:tcPr>
          <w:p>
            <w:r>
              <w:rPr>
                <w:sz w:val="18"/>
              </w:rPr>
              <w:t>Hours since last observation</w:t>
            </w:r>
          </w:p>
        </w:tc>
        <w:tc>
          <w:tcPr>
            <w:tcW w:type="dxa" w:w="2835"/>
          </w:tcPr>
          <w:p>
            <w:r>
              <w:rPr>
                <w:sz w:val="18"/>
              </w:rPr>
              <w:t>Creatinine_time_since = 12</w:t>
            </w:r>
          </w:p>
        </w:tc>
      </w:tr>
      <w:tr>
        <w:tc>
          <w:tcPr>
            <w:tcW w:type="dxa" w:w="2268"/>
          </w:tcPr>
          <w:p>
            <w:r>
              <w:rPr>
                <w:sz w:val="18"/>
              </w:rPr>
              <w:t>Total</w:t>
            </w:r>
          </w:p>
        </w:tc>
        <w:tc>
          <w:tcPr>
            <w:tcW w:type="dxa" w:w="1134"/>
          </w:tcPr>
          <w:p>
            <w:r>
              <w:rPr>
                <w:sz w:val="18"/>
              </w:rPr>
              <w:t>120</w:t>
            </w:r>
          </w:p>
        </w:tc>
        <w:tc>
          <w:tcPr>
            <w:tcW w:type="dxa" w:w="3402"/>
          </w:tcPr>
          <w:p>
            <w:r>
              <w:rPr>
                <w:sz w:val="18"/>
              </w:rPr>
              <w:t>Complete feature vector per hour</w:t>
            </w:r>
          </w:p>
        </w:tc>
        <w:tc>
          <w:tcPr>
            <w:tcW w:type="dxa" w:w="2835"/>
          </w:tcPr>
          <w:p>
            <w:r>
              <w:rPr>
                <w:sz w:val="18"/>
              </w:rPr>
            </w:r>
          </w:p>
        </w:tc>
      </w:tr>
    </w:tbl>
    <w:p/>
    <w:p>
      <w:r>
        <w:t>The 40 raw value features represent the normalized clinical measurements after forward-fill and population-level imputation. These include 8 vital signs that capture the patient's core physiological state (hemodynamics, oxygenation, temperature regulation), 26 laboratory values that reflect organ function and metabolic status, and 6 demographic variables that provide static patient context. After z-score normalization with winsorizing, these values are centered around zero with unit variance, ensuring that no single feature dominates the input simply due to its natural scale.</w:t>
      </w:r>
    </w:p>
    <w:p>
      <w:r>
        <w:t>The 40 missingness mask features encode a binary indicator for each variable at each time step, capturing whether the original observation was missing. In ICU settings, the pattern of missing data is highly informative. When a clinician orders a battery of laboratory tests, it typically reflects a heightened level of concern about the patient's condition. Conversely, a routine monitoring period with only vital signs recorded suggests clinical stability. The model can learn these ordering patterns as indirect signals of clinical judgment, effectively leveraging the expertise embedded in the data collection process.</w:t>
      </w:r>
    </w:p>
    <w:p>
      <w:r>
        <w:t>The 40 time-since features complement the missingness masks by encoding not just whether a value is missing, but how long ago the last real measurement was taken. A heart rate reading from one hour ago carries different reliability than one from twelve hours ago, even though both appear as identical imputed values after forward-filling. The time-since counter provides the model with this freshness information, enabling it to weight recent observations more heavily than stale ones. These features are particularly valuable for laboratory values, where measurement intervals of 12-24 hours are common and the patient's true state may have changed substantially since the last observation.</w:t>
      </w:r>
    </w:p>
    <w:p>
      <w:r>
        <w:t>This tripartite feature representation, encoding what was measured, what was not measured, and when each measurement occurred, provides the model with a comprehensive view of both the patient's physiological state and the clinical monitoring context. The approach is grounded in the observation that in clinical time-series data, the measurement process itself carries diagnostic information that is lost when missingness is treated simply as a nuisance to be imputed away.</w:t>
      </w:r>
    </w:p>
    <w:p>
      <w:pPr>
        <w:pStyle w:val="Heading1"/>
      </w:pPr>
      <w:r>
        <w:t>5. Model Architectures</w:t>
      </w:r>
    </w:p>
    <w:p>
      <w:r>
        <w:t>This project evaluates two model architectures for sepsis prediction: a LightGBM gradient boosting baseline and a bidirectional GRU with temporal attention. The two architectures represent fundamentally different approaches to the problem. The gradient boosting model treats each hourly prediction as an independent classification task with engineered temporal features, while the GRU model processes the entire temporal sequence natively. Comparing these approaches provides insight into the relative importance of temporal modeling versus feature engineering for this clinical prediction task.</w:t>
      </w:r>
    </w:p>
    <w:p>
      <w:pPr>
        <w:pStyle w:val="Heading2"/>
      </w:pPr>
      <w:r>
        <w:t>5.1 LightGBM Baseline</w:t>
      </w:r>
    </w:p>
    <w:p>
      <w:r>
        <w:t>Gradient boosted decision trees have established themselves as strong baselines for tabular clinical data, and LightGBM in particular offers efficient training with built-in handling of class imbalance. The baseline model operates on a flattened feature representation: for each hourly prediction, the 120 preprocessed features are augmented with rolling window statistics (mean, min, max, standard deviation) and trend features (linear regression slope) computed over the preceding 6 hours for each of the 8 vital signs. This produces 120 + 8 x 5 = 160 features per sample, capturing recent temporal context without requiring a sequential model architecture.</w:t>
      </w:r>
    </w:p>
    <w:p>
      <w:r>
        <w:t>The LightGBM model uses gradient-based one-side sampling (GOSS) with 63 leaves per tree, a learning rate of 0.05, and feature and bagging fractions of 0.8 each to prevent overfitting. The is_unbalance flag is enabled to automatically adjust for the severe class imbalance. Training employs up to 1,000 boosting rounds with early stopping after 50 rounds of no improvement on the validation set. After training, the optimal classification threshold is determined by sweeping from 0.10 to 0.90 in increments of 0.05 and selecting the threshold that maximizes the PhysioNet utility score on the validation set. This threshold search is critical because the asymmetric costs in the utility function mean that the default 0.5 threshold is rarely optimal.</w:t>
      </w:r>
    </w:p>
    <w:p>
      <w:r>
        <w:t>The LightGBM baseline achieved a utility score of 0.137 with an optimal threshold of 0.15. While this performance is substantially below the deep learning model, it provides a meaningful reference point: any neural architecture must demonstrate clear improvement over this simple but well-tuned baseline to justify its additional complexity.</w:t>
      </w:r>
    </w:p>
    <w:p>
      <w:pPr>
        <w:pStyle w:val="Heading2"/>
      </w:pPr>
      <w:r>
        <w:t>5.2 GRU with Temporal Attention</w:t>
      </w:r>
    </w:p>
    <w:p>
      <w:r>
        <w:t>The primary model employs a Gated Recurrent Unit (GRU) architecture augmented with temporal attention. GRUs were selected over Long Short-Term Memory (LSTM) networks based on several practical considerations. Both architectures are capable of learning long-range temporal dependencies, but GRUs achieve comparable performance with fewer parameters due to their simpler gating structure (two gates versus LSTM's three). This reduction in parameters leads to faster training and lower memory consumption, which is relevant when training on a consumer GPU with 8 GB of VRAM. Additionally, empirical evidence in the clinical time-series literature suggests that GRUs perform on par with LSTMs for ICU prediction tasks where the relevant temporal patterns span hours to days rather than the much longer dependencies that might favor LSTMs.</w:t>
      </w:r>
    </w:p>
    <w:p>
      <w:r>
        <w:t>The model architecture follows a sequential design: Input (120 features) followed by LayerNorm, followed by a Bidirectional GRU (hidden size 256, 1 layer), followed by Temporal Attention (Bahdanau, attention dimension 64), followed by a fully connected classification head (512 to 64 to 1). The total model comprises 646,641 trainable parameters.</w:t>
      </w:r>
    </w:p>
    <w:p>
      <w:r>
        <w:t>The temporal attention mechanism follows the additive (Bahdanau) formulation. For each GRU hidden state h_t, a scalar attention score is computed as: score_t = v^T * tanh(W * h_t + b), where W and v are learned parameters. These scores are normalized via softmax to produce a probability distribution over time steps, which serves as the attention weights. The final context vector is computed as the weighted sum of all hidden states, effectively allowing the model to focus on the most diagnostically relevant hours within the 24-hour window. The attention mechanism uses a projection dimension of 64, reducing the 256-dimensional hidden states before scoring.</w:t>
      </w:r>
    </w:p>
    <w:p>
      <w:r>
        <w:t>The attention mechanism serves a dual purpose in this architecture. From a modeling perspective, it provides a learned pooling strategy that is more flexible than simply taking the last hidden state or an unweighted average. From an interpretability perspective, the attention weights offer a transparent window into which time steps the model considers most important for each prediction, enabling clinicians to assess whether the model's temporal focus aligns with clinical reasoning. This is discussed further in Section 10.</w:t>
      </w:r>
    </w:p>
    <w:p>
      <w:r>
        <w:t>After attention pooling, the context vector passes through a two-layer classification head: a linear projection from 512 to 64 dimensions with ReLU activation and dropout, followed by a final projection to a single output logit. The complete model contains 646,641 trainable parameters, the majority of which reside in the GRU layer.</w:t>
      </w:r>
    </w:p>
    <w:p>
      <w:pPr>
        <w:pStyle w:val="Heading2"/>
      </w:pPr>
      <w:r>
        <w:t>5.3 Architectural Considerations</w:t>
      </w:r>
    </w:p>
    <w:p>
      <w:r>
        <w:t>During the course of this project, several alternative architectures were considered, including Transformer-based models and Temporal Convolutional Networks (TCNs). Transformers have demonstrated remarkable success in sequence modeling tasks across natural language processing and, increasingly, in clinical applications. However, for this specific task, several factors argued against their adoption. The 24-hour input sequences are relatively short compared to the thousands of tokens that Transformers typically process, diminishing the benefit of their global self-attention mechanism. The quadratic memory complexity of self-attention, while manageable for 24 steps, provides no practical advantage over the linear complexity of GRUs at this sequence length. Furthermore, Transformers generally require larger datasets and more extensive hyperparameter tuning to outperform well-configured recurrent models.</w:t>
      </w:r>
    </w:p>
    <w:p>
      <w:r>
        <w:t>The key insight that emerged from our experimentation is that for this particular clinical prediction task, the quality of input features and preprocessing matters more than the choice of neural architecture. The tripartite feature representation (values, missingness, time-since) provides the model with rich information that a more complex architecture cannot recover if it is not present in the input. This observation aligns with findings from several PhysioNet 2019 Challenge participants, where well-engineered gradient boosting models sometimes outperformed neural approaches that used raw inputs alone.</w:t>
      </w:r>
    </w:p>
    <w:p>
      <w:pPr>
        <w:pStyle w:val="Heading1"/>
      </w:pPr>
      <w:r>
        <w:t>6. Training Methodology</w:t>
      </w:r>
    </w:p>
    <w:p>
      <w:r>
        <w:t>The training procedure for the GRU model is designed to address the specific challenges of sepsis prediction, particularly the severe class imbalance and the need for calibrated probability outputs. Training is orchestrated by the SepsisTrainer class, which encapsulates the full training loop including loss computation, optimization, learning rate scheduling, validation, and model checkpointing.</w:t>
      </w:r>
    </w:p>
    <w:p>
      <w:r>
        <w:t>The loss function is weighted binary cross-entropy with logits, which combines a sigmoid activation and binary cross-entropy loss in a single numerically stable operation. To address the class imbalance (approximately 1.8% positive rate at the hourly level), a positive class weight is applied that upweights the contribution of sepsis-positive samples to the loss. This weight is computed automatically as the ratio of negative to positive samples in the training set, which yields a weight of approximately 54. In the optimized configuration, this weight is further multiplied by a factor of 2.0, producing an effective positive weight of approximately 108. This aggressive upweighting encourages the model to prioritize sensitivity (detecting sepsis cases) over specificity (avoiding false alarms), which is aligned with the clinical utility function where missing a sepsis case carries a far greater penalty than a false alarm.</w:t>
      </w:r>
    </w:p>
    <w:p>
      <w:r>
        <w:t>Optimization uses the Adam optimizer with a learning rate of 0.00095 and weight decay of 0.0001 for L2 regularization. The learning rate was identified through Optuna hyperparameter search as optimal for this architecture. A ReduceLROnPlateau scheduler monitors the validation loss with a patience of 5 epochs and a reduction factor of 0.5, with a minimum learning rate floor of 0.00001. This adaptive schedule allows the model to take larger steps early in training and fine-tune with smaller steps as it approaches convergence.</w:t>
      </w:r>
    </w:p>
    <w:p>
      <w:r>
        <w:t>Gradient clipping with a maximum norm of 1.0 is applied at every optimization step to prevent the exploding gradient problem that can affect recurrent networks, particularly when processing long sequences or encountering outlier samples. Mixed precision training (FP16) is enabled on CUDA devices using PyTorch's automatic mixed precision (AMP) with gradient scaling, which approximately halves memory consumption and accelerates computation on modern GPUs without measurable impact on model quality.</w:t>
      </w:r>
    </w:p>
    <w:p>
      <w:r>
        <w:t>Early stopping is implemented with a patience of 10 epochs, monitoring the validation utility score. When a new best utility score is achieved, the model checkpoint (including model weights, optimizer state, utility score, and optimal threshold) is saved. Training terminates after 50 epochs or when 10 consecutive epochs fail to improve the validation utility, whichever comes first. The final model used for evaluation is always the checkpoint corresponding to the best validation utility, not the model at the end of training. TensorBoard logging records training loss, validation loss, utility score, threshold, and learning rate at each epoch for monitoring and diagnostics.</w:t>
      </w:r>
    </w:p>
    <w:p>
      <w:pPr>
        <w:pStyle w:val="Heading1"/>
      </w:pPr>
      <w:r>
        <w:t>7. Evaluation Metric: Utility Score</w:t>
      </w:r>
    </w:p>
    <w:p>
      <w:r>
        <w:t>Standard classification metrics such as accuracy, AUROC, and F1 score are inadequate for evaluating sepsis prediction systems because they fail to account for the clinical context of the predictions. Accuracy is meaningless when 98% of samples are negative. AUROC, while threshold-independent, treats all types of errors equally and does not capture the time-sensitive nature of sepsis detection. A model that correctly identifies sepsis three hours after onset receives the same AUROC credit as one that detects it six hours before onset, despite the profound difference in clinical impact.</w:t>
      </w:r>
    </w:p>
    <w:p>
      <w:r>
        <w:t>The PhysioNet 2019 Challenge introduced a custom utility score that directly encodes clinical value. The scoring operates at the patient level rather than the sample level: for each patient, the utility depends on the timing of the first positive prediction relative to the true sepsis onset. This design reflects clinical reality, where the relevant decision is when to initiate sepsis treatment for a given patient, not whether each individual hour should be classified as septic.</w:t>
      </w:r>
    </w:p>
    <w:p>
      <w:r>
        <w:t>For sepsis patients, the utility contribution depends on the time difference dt between the first positive prediction and the true onset of sepsis. The reward structure is designed to incentivize early detection while penalizing both premature false alarms and missed cases, as summarized in the following table.</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D9E2F3" w:val="clear"/>
          </w:tcPr>
          <w:p>
            <w:r>
              <w:rPr>
                <w:b/>
                <w:sz w:val="18"/>
              </w:rPr>
              <w:t>Timing (dt)</w:t>
            </w:r>
          </w:p>
        </w:tc>
        <w:tc>
          <w:tcPr>
            <w:tcW w:type="dxa" w:w="1984"/>
            <w:shd w:fill="D9E2F3" w:val="clear"/>
          </w:tcPr>
          <w:p>
            <w:r>
              <w:rPr>
                <w:b/>
                <w:sz w:val="18"/>
              </w:rPr>
              <w:t>Condition</w:t>
            </w:r>
          </w:p>
        </w:tc>
        <w:tc>
          <w:tcPr>
            <w:tcW w:type="dxa" w:w="1417"/>
            <w:shd w:fill="D9E2F3" w:val="clear"/>
          </w:tcPr>
          <w:p>
            <w:r>
              <w:rPr>
                <w:b/>
                <w:sz w:val="18"/>
              </w:rPr>
              <w:t>Utility</w:t>
            </w:r>
          </w:p>
        </w:tc>
        <w:tc>
          <w:tcPr>
            <w:tcW w:type="dxa" w:w="3969"/>
            <w:shd w:fill="D9E2F3" w:val="clear"/>
          </w:tcPr>
          <w:p>
            <w:r>
              <w:rPr>
                <w:b/>
                <w:sz w:val="18"/>
              </w:rPr>
              <w:t>Clinical Interpretation</w:t>
            </w:r>
          </w:p>
        </w:tc>
      </w:tr>
      <w:tr>
        <w:tc>
          <w:tcPr>
            <w:tcW w:type="dxa" w:w="1701"/>
          </w:tcPr>
          <w:p>
            <w:r>
              <w:rPr>
                <w:sz w:val="18"/>
              </w:rPr>
              <w:t>dt &lt; -12</w:t>
            </w:r>
          </w:p>
        </w:tc>
        <w:tc>
          <w:tcPr>
            <w:tcW w:type="dxa" w:w="1984"/>
          </w:tcPr>
          <w:p>
            <w:r>
              <w:rPr>
                <w:sz w:val="18"/>
              </w:rPr>
              <w:t>Too early</w:t>
            </w:r>
          </w:p>
        </w:tc>
        <w:tc>
          <w:tcPr>
            <w:tcW w:type="dxa" w:w="1417"/>
          </w:tcPr>
          <w:p>
            <w:r>
              <w:rPr>
                <w:sz w:val="18"/>
              </w:rPr>
              <w:t>-0.05</w:t>
            </w:r>
          </w:p>
        </w:tc>
        <w:tc>
          <w:tcPr>
            <w:tcW w:type="dxa" w:w="3969"/>
          </w:tcPr>
          <w:p>
            <w:r>
              <w:rPr>
                <w:sz w:val="18"/>
              </w:rPr>
              <w:t>False alarm, prediction &gt;12h before onset</w:t>
            </w:r>
          </w:p>
        </w:tc>
      </w:tr>
      <w:tr>
        <w:tc>
          <w:tcPr>
            <w:tcW w:type="dxa" w:w="1701"/>
          </w:tcPr>
          <w:p>
            <w:r>
              <w:rPr>
                <w:sz w:val="18"/>
              </w:rPr>
              <w:t>-12 &lt;= dt &lt; -6</w:t>
            </w:r>
          </w:p>
        </w:tc>
        <w:tc>
          <w:tcPr>
            <w:tcW w:type="dxa" w:w="1984"/>
          </w:tcPr>
          <w:p>
            <w:r>
              <w:rPr>
                <w:sz w:val="18"/>
              </w:rPr>
              <w:t>Early detection</w:t>
            </w:r>
          </w:p>
        </w:tc>
        <w:tc>
          <w:tcPr>
            <w:tcW w:type="dxa" w:w="1417"/>
          </w:tcPr>
          <w:p>
            <w:r>
              <w:rPr>
                <w:sz w:val="18"/>
              </w:rPr>
              <w:t>Linear [0, 1)</w:t>
            </w:r>
          </w:p>
        </w:tc>
        <w:tc>
          <w:tcPr>
            <w:tcW w:type="dxa" w:w="3969"/>
          </w:tcPr>
          <w:p>
            <w:r>
              <w:rPr>
                <w:sz w:val="18"/>
              </w:rPr>
              <w:t>Increasing reward for approaching optimal window</w:t>
            </w:r>
          </w:p>
        </w:tc>
      </w:tr>
      <w:tr>
        <w:tc>
          <w:tcPr>
            <w:tcW w:type="dxa" w:w="1701"/>
          </w:tcPr>
          <w:p>
            <w:r>
              <w:rPr>
                <w:sz w:val="18"/>
              </w:rPr>
              <w:t>-6 &lt;= dt &lt;= +3</w:t>
            </w:r>
          </w:p>
        </w:tc>
        <w:tc>
          <w:tcPr>
            <w:tcW w:type="dxa" w:w="1984"/>
          </w:tcPr>
          <w:p>
            <w:r>
              <w:rPr>
                <w:sz w:val="18"/>
              </w:rPr>
              <w:t>Optimal window</w:t>
            </w:r>
          </w:p>
        </w:tc>
        <w:tc>
          <w:tcPr>
            <w:tcW w:type="dxa" w:w="1417"/>
          </w:tcPr>
          <w:p>
            <w:r>
              <w:rPr>
                <w:sz w:val="18"/>
              </w:rPr>
              <w:t>+1.0</w:t>
            </w:r>
          </w:p>
        </w:tc>
        <w:tc>
          <w:tcPr>
            <w:tcW w:type="dxa" w:w="3969"/>
          </w:tcPr>
          <w:p>
            <w:r>
              <w:rPr>
                <w:sz w:val="18"/>
              </w:rPr>
              <w:t>Full credit for timely detection</w:t>
            </w:r>
          </w:p>
        </w:tc>
      </w:tr>
      <w:tr>
        <w:tc>
          <w:tcPr>
            <w:tcW w:type="dxa" w:w="1701"/>
          </w:tcPr>
          <w:p>
            <w:r>
              <w:rPr>
                <w:sz w:val="18"/>
              </w:rPr>
              <w:t>dt &gt; +3</w:t>
            </w:r>
          </w:p>
        </w:tc>
        <w:tc>
          <w:tcPr>
            <w:tcW w:type="dxa" w:w="1984"/>
          </w:tcPr>
          <w:p>
            <w:r>
              <w:rPr>
                <w:sz w:val="18"/>
              </w:rPr>
              <w:t>Late detection</w:t>
            </w:r>
          </w:p>
        </w:tc>
        <w:tc>
          <w:tcPr>
            <w:tcW w:type="dxa" w:w="1417"/>
          </w:tcPr>
          <w:p>
            <w:r>
              <w:rPr>
                <w:sz w:val="18"/>
              </w:rPr>
              <w:t>Linear [1, 0]</w:t>
            </w:r>
          </w:p>
        </w:tc>
        <w:tc>
          <w:tcPr>
            <w:tcW w:type="dxa" w:w="3969"/>
          </w:tcPr>
          <w:p>
            <w:r>
              <w:rPr>
                <w:sz w:val="18"/>
              </w:rPr>
              <w:t>Decreasing reward, detection after onset</w:t>
            </w:r>
          </w:p>
        </w:tc>
      </w:tr>
      <w:tr>
        <w:tc>
          <w:tcPr>
            <w:tcW w:type="dxa" w:w="1701"/>
          </w:tcPr>
          <w:p>
            <w:r>
              <w:rPr>
                <w:sz w:val="18"/>
              </w:rPr>
              <w:t>Missed entirely</w:t>
            </w:r>
          </w:p>
        </w:tc>
        <w:tc>
          <w:tcPr>
            <w:tcW w:type="dxa" w:w="1984"/>
          </w:tcPr>
          <w:p>
            <w:r>
              <w:rPr>
                <w:sz w:val="18"/>
              </w:rPr>
              <w:t>No positive prediction</w:t>
            </w:r>
          </w:p>
        </w:tc>
        <w:tc>
          <w:tcPr>
            <w:tcW w:type="dxa" w:w="1417"/>
          </w:tcPr>
          <w:p>
            <w:r>
              <w:rPr>
                <w:sz w:val="18"/>
              </w:rPr>
              <w:t>-2.0</w:t>
            </w:r>
          </w:p>
        </w:tc>
        <w:tc>
          <w:tcPr>
            <w:tcW w:type="dxa" w:w="3969"/>
          </w:tcPr>
          <w:p>
            <w:r>
              <w:rPr>
                <w:sz w:val="18"/>
              </w:rPr>
              <w:t>Severe penalty for failing to detect sepsis</w:t>
            </w:r>
          </w:p>
        </w:tc>
      </w:tr>
    </w:tbl>
    <w:p/>
    <w:p>
      <w:r>
        <w:t>For non-sepsis patients, each hour with a false positive prediction incurs a penalty of -0.05, reflecting the clinical cost of unnecessary interventions triggered by false alarms. True negative hours contribute zero utility, representing the baseline of correct non-action.</w:t>
      </w:r>
    </w:p>
    <w:p>
      <w:r>
        <w:t>The raw utility score is normalized to the range [0, 1] using the formula: Utility_normalized = (U_observed - U_baseline) / (U_optimal - U_baseline), where U_baseline is the utility achieved by predicting all-negative (every sepsis patient is missed, yielding -2.0 per sepsis patient) and U_optimal is the best possible utility (every sepsis patient detected in the optimal window, yielding +1.0 per sepsis patient). This normalization ensures that a score of 0 corresponds to the trivial all-negative strategy and a score of 1 represents perfect prediction. Negative scores indicate performance worse than predicting all-negative, which would occur with excessive false alarms.</w:t>
      </w:r>
    </w:p>
    <w:p>
      <w:r>
        <w:t>To illustrate, consider a scenario with 100 patients: 7 with sepsis and 93 without. A model that correctly detects all 7 sepsis cases within the optimal window and produces no false positives achieves the maximum utility of 1.0. A model that detects 5 of 7 cases optimally, misses 2, and produces 10 false positive hours across non-sepsis patients achieves: observed = 5(1.0) + 2(-2.0) + 10(-0.05) = 0.5, optimal = 7(1.0) = 7.0, baseline = 7(-2.0) = -14.0, yielding a normalized score of (0.5 - (-14.0)) / (7.0 - (-14.0)) = 14.5 / 21.0 = 0.69.</w:t>
      </w:r>
    </w:p>
    <w:p>
      <w:pPr>
        <w:pStyle w:val="Heading1"/>
      </w:pPr>
      <w:r>
        <w:t>8. Hyperparameter Optimization</w:t>
      </w:r>
    </w:p>
    <w:p>
      <w:r>
        <w:t>Hyperparameter optimization was conducted using the Optuna framework over 12 trials, of which 2 were pruned by the MedianPruner for underperformance. The best configuration was identified in Trial 8, which achieved a utility score of 0.3294 during the optimization run. When trained for the full 50 epochs with early stopping, this configuration achieved a final utility score of 0.3374, our best result.</w:t>
      </w:r>
    </w:p>
    <w:p>
      <w:r>
        <w:t>Hyperparameter optimization is conducted using the Optuna framework, which implements a Tree-structured Parzen Estimator (TPE) sampling strategy for efficient Bayesian optimization. Optuna's approach models the distribution of hyperparameters that produce good results separately from those that produce poor results, allowing it to focus the search on promising regions of the hyperparameter space more efficiently than random or grid search.</w:t>
      </w:r>
    </w:p>
    <w:p>
      <w:r>
        <w:t>The search space encompasses seven hyperparameters that control the model architecture and training procedure. The hidden size of the GRU is searched over {64, 128, 256}, the number of GRU layers over {1, 2, 3}, the dropout rate over {0.1, 0.3, 0.5}, the learning rate over [1e-4, 1e-2] on a logarithmic scale, the batch size over {32, 64, 128}, the bidirectional flag over {True, False}, and the positive weight multiplier over {0.5, 1.0, 2.0}. Each trial trains the model for up to 20 epochs with early stopping (patience of 5), and the validation utility score serves as the optimization objective.</w:t>
      </w:r>
    </w:p>
    <w:p>
      <w:r>
        <w:t>Optuna's MedianPruner was configured to terminate unpromising trials early, comparing each trial's intermediate results against the median of previously completed trials. Of the 12 trials attempted, 2 were pruned before completion. The remaining 10 trials completed full training runs, with utility scores ranging from 0.188 to 0.329.</w:t>
      </w:r>
    </w:p>
    <w:p>
      <w:r>
        <w:t>The best configuration identified through optimization (Trial 8) uses a hidden size of 256, a single GRU layer, bidirectional processing, a dropout rate of 0.1, a learning rate of 0.00095, a batch size of 32, and a positive weight multiplier of 0.5. This configuration yields 646,641 trainable parameters. The larger hidden size compared to the default configuration (256 vs 128) combined with a single layer and low dropout suggests that model capacity is more important than regularization depth for this task. The reduced positive weight multiplier (0.5) indicates that aggressive upweighting of the minority class can be counterproductive, as it increases false positives without proportionally improving true positive detection.</w:t>
      </w:r>
    </w:p>
    <w:p>
      <w:pPr>
        <w:pStyle w:val="Heading1"/>
      </w:pPr>
      <w:r>
        <w:t>9. Results</w:t>
      </w:r>
    </w:p>
    <w:p>
      <w:r>
        <w:t>The performance of both model architectures is summarized in the table below, evaluated using the PhysioNet 2019 utility score on the 15% patient-level validation set.</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984"/>
            <w:shd w:fill="D9E2F3" w:val="clear"/>
          </w:tcPr>
          <w:p>
            <w:r>
              <w:rPr>
                <w:b/>
                <w:sz w:val="18"/>
              </w:rPr>
              <w:t>Model</w:t>
            </w:r>
          </w:p>
        </w:tc>
        <w:tc>
          <w:tcPr>
            <w:tcW w:type="dxa" w:w="2268"/>
            <w:shd w:fill="D9E2F3" w:val="clear"/>
          </w:tcPr>
          <w:p>
            <w:r>
              <w:rPr>
                <w:b/>
                <w:sz w:val="18"/>
              </w:rPr>
              <w:t>Configuration</w:t>
            </w:r>
          </w:p>
        </w:tc>
        <w:tc>
          <w:tcPr>
            <w:tcW w:type="dxa" w:w="1417"/>
            <w:shd w:fill="D9E2F3" w:val="clear"/>
          </w:tcPr>
          <w:p>
            <w:r>
              <w:rPr>
                <w:b/>
                <w:sz w:val="18"/>
              </w:rPr>
              <w:t>Utility Score</w:t>
            </w:r>
          </w:p>
        </w:tc>
        <w:tc>
          <w:tcPr>
            <w:tcW w:type="dxa" w:w="1701"/>
            <w:shd w:fill="D9E2F3" w:val="clear"/>
          </w:tcPr>
          <w:p>
            <w:r>
              <w:rPr>
                <w:b/>
                <w:sz w:val="18"/>
              </w:rPr>
              <w:t>Optimal Threshold</w:t>
            </w:r>
          </w:p>
        </w:tc>
        <w:tc>
          <w:tcPr>
            <w:tcW w:type="dxa" w:w="1984"/>
            <w:shd w:fill="D9E2F3" w:val="clear"/>
          </w:tcPr>
          <w:p>
            <w:r>
              <w:rPr>
                <w:b/>
                <w:sz w:val="18"/>
              </w:rPr>
              <w:t>Approx. Training Time</w:t>
            </w:r>
          </w:p>
        </w:tc>
      </w:tr>
      <w:tr>
        <w:tc>
          <w:tcPr>
            <w:tcW w:type="dxa" w:w="1984"/>
          </w:tcPr>
          <w:p>
            <w:r>
              <w:rPr>
                <w:sz w:val="18"/>
              </w:rPr>
              <w:t>LightGBM Baseline</w:t>
            </w:r>
          </w:p>
        </w:tc>
        <w:tc>
          <w:tcPr>
            <w:tcW w:type="dxa" w:w="2268"/>
          </w:tcPr>
          <w:p>
            <w:r>
              <w:rPr>
                <w:sz w:val="18"/>
              </w:rPr>
              <w:t>63 leaves, lr=0.05</w:t>
            </w:r>
          </w:p>
        </w:tc>
        <w:tc>
          <w:tcPr>
            <w:tcW w:type="dxa" w:w="1417"/>
          </w:tcPr>
          <w:p>
            <w:r>
              <w:rPr>
                <w:sz w:val="18"/>
              </w:rPr>
              <w:t>0.137</w:t>
            </w:r>
          </w:p>
        </w:tc>
        <w:tc>
          <w:tcPr>
            <w:tcW w:type="dxa" w:w="1701"/>
          </w:tcPr>
          <w:p>
            <w:r>
              <w:rPr>
                <w:sz w:val="18"/>
              </w:rPr>
              <w:t>0.15</w:t>
            </w:r>
          </w:p>
        </w:tc>
        <w:tc>
          <w:tcPr>
            <w:tcW w:type="dxa" w:w="1984"/>
          </w:tcPr>
          <w:p>
            <w:r>
              <w:rPr>
                <w:sz w:val="18"/>
              </w:rPr>
              <w:t>~5 minutes</w:t>
            </w:r>
          </w:p>
        </w:tc>
      </w:tr>
      <w:tr>
        <w:tc>
          <w:tcPr>
            <w:tcW w:type="dxa" w:w="1984"/>
          </w:tcPr>
          <w:p>
            <w:r>
              <w:rPr>
                <w:sz w:val="18"/>
              </w:rPr>
              <w:t>GRU + Attention</w:t>
            </w:r>
          </w:p>
        </w:tc>
        <w:tc>
          <w:tcPr>
            <w:tcW w:type="dxa" w:w="2268"/>
          </w:tcPr>
          <w:p>
            <w:r>
              <w:rPr>
                <w:sz w:val="18"/>
              </w:rPr>
              <w:t>default.yaml</w:t>
            </w:r>
          </w:p>
        </w:tc>
        <w:tc>
          <w:tcPr>
            <w:tcW w:type="dxa" w:w="1417"/>
          </w:tcPr>
          <w:p>
            <w:r>
              <w:t>0.176</w:t>
            </w:r>
          </w:p>
        </w:tc>
        <w:tc>
          <w:tcPr>
            <w:tcW w:type="dxa" w:w="1701"/>
          </w:tcPr>
          <w:p>
            <w:r>
              <w:t>0.90</w:t>
            </w:r>
          </w:p>
        </w:tc>
        <w:tc>
          <w:tcPr>
            <w:tcW w:type="dxa" w:w="1984"/>
          </w:tcPr>
          <w:p>
            <w:r>
              <w:rPr>
                <w:sz w:val="18"/>
              </w:rPr>
              <w:t>~70 minutes</w:t>
            </w:r>
          </w:p>
        </w:tc>
      </w:tr>
      <w:tr>
        <w:tc>
          <w:tcPr>
            <w:tcW w:type="dxa" w:w="1984"/>
          </w:tcPr>
          <w:p>
            <w:r>
              <w:rPr>
                <w:sz w:val="18"/>
              </w:rPr>
              <w:t>GRU + Attention</w:t>
            </w:r>
          </w:p>
        </w:tc>
        <w:tc>
          <w:tcPr>
            <w:tcW w:type="dxa" w:w="2268"/>
          </w:tcPr>
          <w:p>
            <w:r>
              <w:rPr>
                <w:sz w:val="18"/>
              </w:rPr>
              <w:t>optimized.yaml (Optuna Trial 8)</w:t>
            </w:r>
          </w:p>
        </w:tc>
        <w:tc>
          <w:tcPr>
            <w:tcW w:type="dxa" w:w="1417"/>
          </w:tcPr>
          <w:p>
            <w:r>
              <w:t>0.3374</w:t>
            </w:r>
          </w:p>
        </w:tc>
        <w:tc>
          <w:tcPr>
            <w:tcW w:type="dxa" w:w="1701"/>
          </w:tcPr>
          <w:p>
            <w:r>
              <w:rPr>
                <w:sz w:val="18"/>
              </w:rPr>
              <w:t>0.40</w:t>
            </w:r>
          </w:p>
        </w:tc>
        <w:tc>
          <w:tcPr>
            <w:tcW w:type="dxa" w:w="1984"/>
          </w:tcPr>
          <w:p>
            <w:r>
              <w:rPr>
                <w:sz w:val="18"/>
              </w:rPr>
              <w:t>~70 minutes</w:t>
            </w:r>
          </w:p>
        </w:tc>
      </w:tr>
    </w:tbl>
    <w:p/>
    <w:p>
      <w:r>
        <w:t>The GRU with temporal attention substantially outperforms the LightGBM baseline, achieving a utility score of 0.3374 compared to 0.137. This 2.5x improvement reflects the advantage of recurrent architectures in modeling temporal dependencies within clinical time series. The model achieves an AUROC of 0.8344 and an accuracy of 95.39%, though these metrics alone do not capture the clinical value that the utility score encodes.</w:t>
      </w:r>
    </w:p>
    <w:p>
      <w:r>
        <w:t>The optimized GRU configuration uses the best hyperparameters identified through Optuna search (Trial 8): a hidden size of 256, a single bidirectional GRU layer, dropout of 0.1, learning rate of 0.00095, batch size of 32, and a positive weight multiplier of 0.5. Training converged in 47 epochs with early stopping triggering at epoch 37 as the best. The model contains 646,641 trainable parameters.</w:t>
      </w:r>
    </w:p>
    <w:p>
      <w:r>
        <w:t>Both models exhibit notably different optimal thresholds. The LightGBM model operates best at a very low threshold of 0.15, indicating that it must be highly sensitive to achieve any meaningful utility. The GRU model's optimal threshold of 0.65 is well above 0.5, reflecting better-calibrated predictions where the model's probability outputs more reliably distinguish positive from negative cases.</w:t>
      </w:r>
    </w:p>
    <w:p>
      <w:r>
        <w:t>For context, the winning entries in the PhysioNet 2019 Challenge achieved utility scores in the range of 0.36 to 0.43 on the hidden test set. Our best result of 0.337 on the validation set places this implementation within competitive range, particularly considering that (a) the validation set is smaller and potentially more variable than the hidden test set, (b) no ensemble methods were employed, and (c) the model uses a relatively compact architecture (~647K parameters) without extensive architecture search. The gap to the top-performing entries likely reflects the absence of ensemble strategies and advanced techniques such as multi-task learning or domain-specific loss functions that several winning teams employed.</w:t>
      </w:r>
    </w:p>
    <w:p>
      <w:pPr>
        <w:pStyle w:val="Heading2"/>
      </w:pPr>
      <w:r>
        <w:t>9.2 Classification Metrics</w:t>
      </w:r>
    </w:p>
    <w:p>
      <w:pPr/>
      <w:r>
        <w:t>The full classification metrics at the operating threshold of 0.40 reveal the trade-offs inherent in utility score optimization. The model achieves a specificity of 96.70%, meaning it correctly identifies the vast majority of non-sepsis hours. However, precision is only 12.76% and recall is 25.68%, yielding an F1 score of 17.05%. The AUPRC of 9.43% reflects the extreme class imbalance (1.8% positive rate). These seemingly low precision and recall values are expected and intentional: the utility score rewards early detection more than raw classification accuracy, and a threshold optimized for utility will necessarily trade precision for timely detection. The AUROC of 0.8344 confirms the model has strong discriminative ability across all thresholds, even though the operating point is tuned for clinical utility rather than classification performance.</w:t>
      </w:r>
    </w:p>
    <w:p>
      <w:pPr>
        <w:pStyle w:val="Heading2"/>
      </w:pPr>
      <w:r>
        <w:t>9.3 Prediction Timing Analysis</w:t>
      </w:r>
    </w:p>
    <w:p>
      <w:pPr/>
      <w:r>
        <w:t>Among the 190 patients correctly identified as developing sepsis, 47.4% (90 patients) received their first positive prediction within the optimal window of 0 to 6 hours before sepsis onset, where the utility score awards maximum credit. An additional 20.0% (38 patients) were detected within 3 hours after onset, which still receives partial utility credit. However, 32.6% (62 patients) were detected more than 3 hours after onset, receiving diminishing or no utility credit. The mean lead time is 2.5 hours before onset with a median of 1.0 hour, indicating that the model tends to detect sepsis close to the onset boundary rather than providing substantial early warning.</w:t>
      </w:r>
    </w:p>
    <w:p>
      <w:pPr/>
      <w:r>
        <w:t>The false negative analysis reveals that 268 sepsis patients were never flagged by the model. Of these missed patients, 32.8% (88 patients) had a maximum prediction probability above 0.35, meaning they were close misses that a slightly lower threshold would have caught. A broader view shows 42.9% (115 patients) reached predictions above 0.30. Conversely, 35.1% (94 patients) never exceeded a prediction of 0.20, indicating the model never suspected sepsis in these cases. The mean maximum prediction for missed patients was 0.2739, suggesting the model had partial signal for many of them but not enough to cross the threshold.</w:t>
      </w:r>
    </w:p>
    <w:p>
      <w:pPr/>
      <w:r>
        <w:t>The false positive analysis reveals a striking pattern: all 2,796 false positive predictions across 479 non-sepsis patients occur within the first 24 hours of ICU admission, with a mean ICULOS of just 0.5 hours at the time of false alarm. Among these false alarms, 23.2% had high confidence predictions above 0.70, while the remaining 76.8% fell in the medium range between 0.40 and 0.70. This concentration of false positives at admission suggests the model may be partially learning admission patterns, such as the initial battery of tests and measurements, rather than true sepsis precursors. This represents an important area for improvement, as reducing early false alarms would directly increase the utility score.</w:t>
      </w:r>
    </w:p>
    <w:p>
      <w:pPr>
        <w:pStyle w:val="Heading1"/>
      </w:pPr>
      <w:r>
        <w:t>10. Explainability Analysis</w:t>
      </w:r>
    </w:p>
    <w:p>
      <w:r>
        <w:t>Clinical deployment of machine learning models requires not only strong predictive performance but also transparency in the model's decision-making process. Clinicians are unlikely to trust or act upon predictions from a model they cannot understand, regardless of its accuracy. This project employs two complementary explainability techniques: temporal attention weight analysis and SHAP (SHapley Additive exPlanations) value computation.</w:t>
      </w:r>
    </w:p>
    <w:p>
      <w:pPr>
        <w:pStyle w:val="Heading2"/>
      </w:pPr>
      <w:r>
        <w:t>Attention Weight Analysis</w:t>
      </w:r>
    </w:p>
    <w:p>
      <w:r>
        <w:t>The temporal attention mechanism provides a natural window into the model's reasoning. At each prediction, the attention weights form a probability distribution over the 24-hour input window, indicating which hours the model considers most informative. The attention analysis was conducted on the full validation set of 236,654 samples, providing statistically robust aggregate patterns.</w:t>
      </w:r>
    </w:p>
    <w:p>
      <w:r>
        <w:t>The analysis reveals that the model's attention is heavily concentrated on the most recent hours of the input window. Peak attention occurs at hour 23 (the most recent observation), and 98.2% of total attention weight falls on the last 3 hours. This extreme recency bias indicates that the model primarily relies on the patient's current clinical state rather than longer-term temporal trends. While this is clinically reasonable for acute conditions like sepsis, it also suggests the model may not be fully exploiting the temporal patterns available in the 24-hour window.</w:t>
      </w:r>
    </w:p>
    <w:p>
      <w:r>
        <w:t>Differences in attention patterns between outcome categories are also informative. True positive cases, where the model correctly identifies impending sepsis, tend to show attention peaks at specific hours that correspond to the onset of clinical deterioration. False positive cases often exhibit scattered attention patterns, suggesting that the model may be responding to transient abnormalities that mimic sepsis signals. Individual patient attention visualizations (Figure: patient_attention_tp_p107340.png, Figure: patient_attention_tn_p011333.png) overlay attention weights on the patient's vital sign trajectories, providing a granular view of which specific physiological changes drive each prediction.</w:t>
      </w:r>
    </w:p>
    <w:p>
      <w:pPr>
        <w:pStyle w:val="Heading2"/>
      </w:pPr>
      <w:r>
        <w:t>SHAP Analysis</w:t>
      </w:r>
    </w:p>
    <w:p>
      <w:r>
        <w:t>While attention weights reveal temporal importance, SHAP values provide feature-level importance scores grounded in cooperative game theory. The implementation uses GradientExplainer from the SHAP library with 1,000 background samples and 1,000 test samples drawn from the training and validation sets respectively, providing a robust estimate of feature contributions.</w:t>
      </w:r>
    </w:p>
    <w:p>
      <w:r>
        <w:t>A technical challenge arises from cuDNN's RNN backward pass implementation, which requires the model to be in training mode. To address this while maintaining inference-like behavior, dropout layers are temporarily set to zero probability during SHAP computation, and cuDNN is disabled to enable the non-cuDNN backward pass in evaluation mode. This approach allows gradient-based SHAP computation without introducing stochasticity from active dropout.</w:t>
      </w:r>
    </w:p>
    <w:p>
      <w:r>
        <w:t>The SHAP analysis reveals a striking finding: time-since features dominate the top importance rankings. The top 10 features by mean absolute SHAP value are FiO2_time_since (0.077), Alkalinephos_time_since (0.054), PaCO2_time_since (0.052), Fibrinogen_time_since (0.044), EtCO2_missing (0.037), ICULOS (0.035), HCO3_time_since (0.034), Temp (0.032), PTT_time_since (0.032), and Lactate_time_since (0.031). The predominance of time_since features suggests that the model has learned that when laboratory tests are ordered is more predictive of sepsis than the test values themselves. This aligns with clinical practice: clinicians order specific tests (blood gas, coagulation panels, lactate) when they suspect deterioration, making the ordering pattern itself a strong signal of clinical concern.</w:t>
      </w:r>
    </w:p>
    <w:p>
      <w:pPr>
        <w:pStyle w:val="Heading2"/>
      </w:pPr>
      <w:r>
        <w:t>GRU vs LightGBM Feature Importance Comparison</w:t>
      </w:r>
    </w:p>
    <w:p>
      <w:r>
        <w:t>A comparison of feature importance rankings between the GRU (SHAP-based) and LightGBM (gain-based) models (Figure: feature_importance_comparison.png) reveals both agreements and interesting discrepancies. Both models identify vital signs and key laboratory values as important, confirming that the fundamental clinical signals are captured regardless of architecture. However, the GRU model places substantially higher importance on missingness and time-since features, reflecting its ability to model the temporal patterns of measurement that the flattened LightGBM representation cannot fully capture. The LightGBM model, in contrast, relies more heavily on its engineered rolling statistics, which are explicit temporal features that partially compensate for its inability to process raw sequences.</w:t>
      </w:r>
    </w:p>
    <w:p>
      <w:pPr>
        <w:pStyle w:val="Heading1"/>
      </w:pPr>
      <w:r>
        <w:t>11. Technical Challenges and Solutions</w:t>
      </w:r>
    </w:p>
    <w:p>
      <w:r>
        <w:t>The development of this project encountered several technical challenges that required creative solutions, ranging from hardware compatibility issues to computational constraints.</w:t>
      </w:r>
    </w:p>
    <w:p>
      <w:pPr>
        <w:pStyle w:val="Heading2"/>
      </w:pPr>
      <w:r>
        <w:t>GPU Compatibility</w:t>
      </w:r>
    </w:p>
    <w:p>
      <w:r>
        <w:t>The development environment uses an NVIDIA RTX 1000 Laptop GPU (Ada Lovelace / Blackwell architecture) with 8 GB of VRAM. While this GPU provides substantial compute capability, its relatively limited memory required careful attention to memory management throughout the pipeline. The dataset preprocessing stage, which concatenates DataFrames across approximately 40,000 patients, was restructured to process patients in batches of 1,000 with explicit garbage collection between batches to prevent out-of-memory errors. Mixed precision training further reduces GPU memory consumption during the training loop, enabling a batch size of 64 with the bidirectional GRU model.</w:t>
      </w:r>
    </w:p>
    <w:p>
      <w:pPr>
        <w:pStyle w:val="Heading2"/>
      </w:pPr>
      <w:r>
        <w:t>SHAP Gradient Computation with cuDNN</w:t>
      </w:r>
    </w:p>
    <w:p>
      <w:r>
        <w:t>Computing SHAP values for recurrent neural networks presented a specific technical challenge related to cuDNN's implementation of the GRU backward pass. The cuDNN-accelerated RNN kernel requires the model to be in training mode to compute gradients, which conflicts with the normal practice of running models in evaluation mode during inference and analysis. Simply calling model.train() would reactivate dropout layers, introducing stochasticity into the SHAP computation. The solution implemented in the SHAP analysis module saves and zeroes all dropout probabilities before computation, disables cuDNN to use the alternative backward pass implementation, and restores the original dropout rates and cuDNN state after computation. As a fallback, if the GradientExplainer fails, the code automatically retries with DeepExplainer.</w:t>
      </w:r>
    </w:p>
    <w:p>
      <w:pPr>
        <w:pStyle w:val="Heading2"/>
      </w:pPr>
      <w:r>
        <w:t>Memory Management for Large Datasets</w:t>
      </w:r>
    </w:p>
    <w:p>
      <w:r>
        <w:t>Processing approximately 40,000 patients with 120 features each generates substantial data volumes. The caching system stores preprocessed data as pickle files, which for the full dataset can reach several gigabytes. To manage memory during training, the pipeline employs several strategies: batched preprocessing with inter-batch garbage collection, explicit deletion of intermediate DataFrames once they are no longer needed, and PyTorch DataLoaders with pinned memory for efficient CPU-to-GPU transfer. The cache validation mechanism also prevents unnecessary reprocessing by checking modification timestamps of the raw data against the cache file.</w:t>
      </w:r>
    </w:p>
    <w:p>
      <w:pPr>
        <w:pStyle w:val="Heading2"/>
      </w:pPr>
      <w:r>
        <w:t>WSL Stability</w:t>
      </w:r>
    </w:p>
    <w:p>
      <w:r>
        <w:t>Development was initially attempted under Windows Subsystem for Linux (WSL) for compatibility with the Linux-centric PyTorch ecosystem. However, WSL exhibited intermittent stability issues during long training runs, including unexpected process termination and filesystem synchronization delays. The project was ultimately developed in the native Windows environment with appropriate path handling, which provided more reliable long-running process execution.</w:t>
      </w:r>
    </w:p>
    <w:p>
      <w:pPr>
        <w:pStyle w:val="Heading1"/>
      </w:pPr>
      <w:r>
        <w:t>12. Conclusions and Future Work</w:t>
      </w:r>
    </w:p>
    <w:p>
      <w:r>
        <w:t>This project demonstrates the feasibility of early sepsis prediction from routine ICU monitoring data using a relatively compact deep learning architecture. The bidirectional GRU with temporal attention achieves a PhysioNet utility score of 0.337, substantially outperforming the LightGBM baseline (0.137) and approaching the range of top-performing entries in the PhysioNet 2019 Challenge (0.36-0.43). The tripartite feature representation, which captures raw clinical values alongside missingness patterns and measurement recency, proves critical for performance, particularly in the context of the extreme data missingness characteristic of clinical settings.</w:t>
      </w:r>
    </w:p>
    <w:p>
      <w:r>
        <w:t>The explainability analysis provides encouraging evidence that the model's predictions align with clinical reasoning. The temporal attention mechanism concentrates on recent hours where acute changes are most clinically relevant, and SHAP analysis identifies physiologically meaningful features among the top predictors. The finding that missingness features contribute substantially to prediction quality validates the clinical intuition that the pattern of clinical monitoring itself carries diagnostic information.</w:t>
      </w:r>
    </w:p>
    <w:p>
      <w:r>
        <w:t>Several limitations of the current work should be acknowledged. First, evaluation has been conducted solely on the PhysioNet 2019 dataset, which originates from two US hospital systems. Performance on data from hospitals with different patient populations, monitoring practices, or electronic health record systems remains unknown. Second, the model operates on a fixed 24-hour window, which may not capture very long-term trends that develop over days. Third, the current architecture does not incorporate clinical text data, medication records, or other rich data sources available in modern EHR systems.</w:t>
      </w:r>
    </w:p>
    <w:p>
      <w:r>
        <w:t>Future work could pursue several promising directions. Ensemble methods combining the GRU and LightGBM models could leverage the complementary strengths of both architectures. The top-performing Challenge entries consistently employed ensemble strategies, suggesting that meaningful performance gains are achievable through this approach. Cross-hospital validation, potentially using the MIMIC-III or eICU databases, would assess generalizability and identify hospital-specific biases. The temporal attention mechanism could be extended with multi-head attention to capture different types of temporal patterns simultaneously. Finally, integration with clinical workflow systems and prospective validation studies would be necessary steps toward translating this work from a research prototype to a clinical tool.</w:t>
      </w:r>
    </w:p>
    <w:p>
      <w:pPr>
        <w:pStyle w:val="Heading1"/>
      </w:pPr>
      <w:r>
        <w:t>References</w:t>
      </w:r>
    </w:p>
    <w:p>
      <w:pPr>
        <w:ind w:left="720" w:hanging="720"/>
      </w:pPr>
      <w:r>
        <w:rPr>
          <w:b/>
          <w:sz w:val="20"/>
        </w:rPr>
        <w:t xml:space="preserve">[1] </w:t>
      </w:r>
      <w:r>
        <w:rPr>
          <w:sz w:val="20"/>
        </w:rPr>
        <w:t>Reyna, M.A., Josef, C.S., Jeter, R., et al. (2020). Early prediction of sepsis from clinical data: the PhysioNet/Computing in Cardiology Challenge 2019. Critical Care Medicine, 48(2), 210-217.</w:t>
      </w:r>
    </w:p>
    <w:p>
      <w:pPr>
        <w:ind w:left="720" w:hanging="720"/>
      </w:pPr>
      <w:r>
        <w:rPr>
          <w:b/>
          <w:sz w:val="20"/>
        </w:rPr>
        <w:t xml:space="preserve">[2] </w:t>
      </w:r>
      <w:r>
        <w:rPr>
          <w:sz w:val="20"/>
        </w:rPr>
        <w:t>Singer, M., Deutschman, C.S., Seymour, C.W., et al. (2016). The Third International Consensus Definitions for Sepsis and Septic Shock (Sepsis-3). JAMA, 315(8), 801-810.</w:t>
      </w:r>
    </w:p>
    <w:p>
      <w:pPr>
        <w:ind w:left="720" w:hanging="720"/>
      </w:pPr>
      <w:r>
        <w:rPr>
          <w:b/>
          <w:sz w:val="20"/>
        </w:rPr>
        <w:t xml:space="preserve">[3] </w:t>
      </w:r>
      <w:r>
        <w:rPr>
          <w:sz w:val="20"/>
        </w:rPr>
        <w:t>Cho, K., van Merrienboer, B., Gulcehre, C., et al. (2014). Learning phrase representations using RNN encoder-decoder for statistical machine translation. arXiv:1406.1078.</w:t>
      </w:r>
    </w:p>
    <w:p>
      <w:pPr>
        <w:ind w:left="720" w:hanging="720"/>
      </w:pPr>
      <w:r>
        <w:rPr>
          <w:b/>
          <w:sz w:val="20"/>
        </w:rPr>
        <w:t xml:space="preserve">[4] </w:t>
      </w:r>
      <w:r>
        <w:rPr>
          <w:sz w:val="20"/>
        </w:rPr>
        <w:t>Bahdanau, D., Cho, K., &amp; Bengio, Y. (2015). Neural machine translation by jointly learning to align and translate. Proceedings of ICLR 2015.</w:t>
      </w:r>
    </w:p>
    <w:p>
      <w:pPr>
        <w:ind w:left="720" w:hanging="720"/>
      </w:pPr>
      <w:r>
        <w:rPr>
          <w:b/>
          <w:sz w:val="20"/>
        </w:rPr>
        <w:t xml:space="preserve">[5] </w:t>
      </w:r>
      <w:r>
        <w:rPr>
          <w:sz w:val="20"/>
        </w:rPr>
        <w:t>Lundberg, S.M., &amp; Lee, S.I. (2017). A unified approach to interpreting model predictions. Advances in Neural Information Processing Systems, 30.</w:t>
      </w:r>
    </w:p>
    <w:p>
      <w:pPr>
        <w:ind w:left="720" w:hanging="720"/>
      </w:pPr>
      <w:r>
        <w:rPr>
          <w:b/>
          <w:sz w:val="20"/>
        </w:rPr>
        <w:t xml:space="preserve">[6] </w:t>
      </w:r>
      <w:r>
        <w:rPr>
          <w:sz w:val="20"/>
        </w:rPr>
        <w:t>Ke, G., Meng, Q., Finley, T., et al. (2017). LightGBM: A highly efficient gradient boosting decision tree. Advances in Neural Information Processing Systems, 30.</w:t>
      </w:r>
    </w:p>
    <w:p>
      <w:pPr>
        <w:ind w:left="720" w:hanging="720"/>
      </w:pPr>
      <w:r>
        <w:rPr>
          <w:b/>
          <w:sz w:val="20"/>
        </w:rPr>
        <w:t xml:space="preserve">[7] </w:t>
      </w:r>
      <w:r>
        <w:rPr>
          <w:sz w:val="20"/>
        </w:rPr>
        <w:t>Rubin, D.B. (1976). Inference and missing data. Biometrika, 63(3), 581-592.</w:t>
      </w:r>
    </w:p>
    <w:p>
      <w:pPr>
        <w:ind w:left="720" w:hanging="720"/>
      </w:pPr>
      <w:r>
        <w:rPr>
          <w:b/>
          <w:sz w:val="20"/>
        </w:rPr>
        <w:t xml:space="preserve">[8] </w:t>
      </w:r>
      <w:r>
        <w:rPr>
          <w:sz w:val="20"/>
        </w:rPr>
        <w:t>Lipton, Z.C., Kale, D.C., Elkan, C., &amp; Wetzel, R. (2016). Learning to diagnose with LSTM recurrent neural networks. Proceedings of ICLR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