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Early Prediction of Sepsis from ICU Time-Series Data</w:t>
      </w:r>
    </w:p>
    <w:p>
      <w:pPr>
        <w:jc w:val="center"/>
      </w:pPr>
      <w:r>
        <w:rPr>
          <w:color w:val="4A4A4A"/>
          <w:sz w:val="28"/>
        </w:rPr>
        <w:t>Using Gated Recurrent Units with Temporal Attention</w:t>
      </w:r>
    </w:p>
    <w:p/>
    <w:p>
      <w:pPr>
        <w:jc w:val="center"/>
      </w:pPr>
      <w:r>
        <w:rPr>
          <w:color w:val="666666"/>
          <w:sz w:val="24"/>
        </w:rPr>
        <w:t>PhysioNet/Computing in Cardiology Challenge 2019</w:t>
        <w:br/>
        <w:br/>
        <w:t>March 2026</w:t>
      </w:r>
    </w:p>
    <w:p>
      <w:r>
        <w:br w:type="page"/>
      </w:r>
    </w:p>
    <w:p>
      <w:pPr>
        <w:pStyle w:val="Heading1"/>
      </w:pPr>
      <w:r>
        <w:t>Table of Contents</w:t>
      </w:r>
    </w:p>
    <w:p>
      <w:pPr>
        <w:spacing w:after="40" w:before="0"/>
      </w:pPr>
      <w:r>
        <w:t>1. Introduction</w:t>
      </w:r>
    </w:p>
    <w:p>
      <w:pPr>
        <w:spacing w:after="40" w:before="0"/>
      </w:pPr>
      <w:r>
        <w:t>2. Dataset</w:t>
      </w:r>
    </w:p>
    <w:p>
      <w:pPr>
        <w:spacing w:after="40" w:before="0"/>
      </w:pPr>
      <w:r>
        <w:t>3. Preprocessing Pipeline</w:t>
      </w:r>
    </w:p>
    <w:p>
      <w:pPr/>
      <w:r>
        <w:t>The preprocessing pipeline transforms raw PSV files into model-ready tensors. Raw features consist of 8 vital signs (HR, O2Sat, Temp, SBP, MAP, DBP, Resp, EtCO2), 26 laboratory values, and 6 demographic variables (40 total). The pipeline applies forward-fill imputation to maintain temporal continuity, then generates missingness masks (binary indicators of whether each value was observed) and time-since features (hours since last observation). This produces 40 raw + 40 masks + 40 time_since = 120 features per timestep. All features are z-score normalized using population-level training statistics.</w:t>
      </w:r>
    </w:p>
    <w:p>
      <w:pPr/>
      <w:r>
        <w:t>A hash-based caching system stores preprocessed data to ensure reproducibility and avoid redundant computation. The cache is invalidated when raw data or preprocessing parameters change.</w:t>
      </w:r>
    </w:p>
    <w:p>
      <w:pPr>
        <w:spacing w:after="40" w:before="0"/>
      </w:pPr>
      <w:r>
        <w:t>4. Feature Engineering</w:t>
      </w:r>
    </w:p>
    <w:p>
      <w:pPr/>
      <w:r>
        <w:t>Class Imbalance Handling: The dataset exhibits severe class imbalance with only 1.84% sepsis prevalence (4,365 positive out of 236,654 total samples). A positive class weight of 54.86 is computed as the negative/positive ratio, then scaled by a pos_weight_multiplier of 0.5 (Optuna-optimized) for the GRU loss function. SMOTE was not used as it is ineffective for sequential/temporal data where sample interdependence matters. Undersampling was avoided to preserve valuable negative patterns critical for specificity.</w:t>
      </w:r>
    </w:p>
    <w:p>
      <w:pPr>
        <w:spacing w:after="40" w:before="0"/>
      </w:pPr>
      <w:r>
        <w:t>5. Model Architectures</w:t>
      </w:r>
    </w:p>
    <w:p>
      <w:pPr>
        <w:spacing w:after="40" w:before="0"/>
      </w:pPr>
      <w:r>
        <w:t xml:space="preserve">   5.1 LightGBM Baseline</w:t>
      </w:r>
    </w:p>
    <w:p>
      <w:pPr>
        <w:spacing w:after="40" w:before="0"/>
      </w:pPr>
      <w:r>
        <w:t xml:space="preserve">   5.2 Improved LightGBM</w:t>
      </w:r>
    </w:p>
    <w:p>
      <w:pPr/>
      <w:r>
        <w:t>The improved LightGBM expands the 120 base features to 244 through systematic feature engineering:</w:t>
      </w:r>
    </w:p>
    <w:p>
      <w:pPr/>
      <w:r>
        <w:t>Feature groups: Base features (120) = 40 raw + 40 masks + 40 time_since; 6h rolling stats (40) = mean/min/max/std + slope for 8 vitals; 12h rolling stats (32) = mean/min/max/std for 8 vitals; 24h rolling stats (32) = mean/min/max/std for 8 vitals; Rate of change (8) = current - 6h ago for vitals; Time-weighted average (8) = exponential decay with half-life=3h; Clinical interactions (4) = HR*SBP product, MAP 6h trend, Resp*HR product, absolute temperature deviation.</w:t>
      </w:r>
    </w:p>
    <w:p>
      <w:pPr/>
      <w:r>
        <w:t>Hyperparameters: num_leaves=127, learning_rate=0.05, min_data_in_leaf=100, reg_alpha=0.01, reg_lambda=0.01, 500 boosting rounds (no early stopping).</w:t>
      </w:r>
    </w:p>
    <w:p>
      <w:pPr/>
      <w:r>
        <w:t>Why 500 trees is optimal: At 500 trees, validation loss=0.148 and utility=0.3976. At 1000 trees, validation loss drops to 0.097 but utility decreases to 0.3871. This is classic overfitting: the model fits validation loss better but produces less clinically useful predictions. The utility score penalizes both missed sepsis and false alarms in ways that raw loss does not capture.</w:t>
      </w:r>
    </w:p>
    <w:p>
      <w:pPr>
        <w:spacing w:after="40" w:before="0"/>
      </w:pPr>
      <w:r>
        <w:t xml:space="preserve">   5.3 GRU with Temporal Attention</w:t>
      </w:r>
    </w:p>
    <w:p>
      <w:pPr>
        <w:spacing w:after="40" w:before="0"/>
      </w:pPr>
      <w:r>
        <w:t xml:space="preserve">   5.4 Architectural Considerations</w:t>
      </w:r>
    </w:p>
    <w:p>
      <w:pPr>
        <w:spacing w:after="40" w:before="0"/>
      </w:pPr>
      <w:r>
        <w:t>6. Training Methodology</w:t>
      </w:r>
    </w:p>
    <w:p>
      <w:pPr/>
      <w:r>
        <w:t>Training curve milestones: Epoch 1: Utility 0.206, Val Loss 1.115. Epoch 10: Utility 0.276, Val Loss 1.259. Epoch 20: Utility 0.256, Val Loss 1.144. Epoch 37: Utility 0.337, Val Loss 1.903 (best checkpoint saved). Epoch 47: Early stopping triggered after 10 epochs without improvement. Note that the best utility occurs at higher validation loss, indicating the model learns to optimize for clinical relevance rather than raw prediction accuracy.</w:t>
      </w:r>
    </w:p>
    <w:p>
      <w:pPr>
        <w:spacing w:after="40" w:before="0"/>
      </w:pPr>
      <w:r>
        <w:t>7. Evaluation Metric: Utility Score</w:t>
      </w:r>
    </w:p>
    <w:p>
      <w:pPr>
        <w:spacing w:after="40" w:before="0"/>
      </w:pPr>
      <w:r>
        <w:t>8. Hyperparameter Optimization</w:t>
      </w:r>
    </w:p>
    <w:p>
      <w:pPr>
        <w:spacing w:after="40" w:before="0"/>
      </w:pPr>
      <w:r>
        <w:t>9. Results</w:t>
      </w:r>
    </w:p>
    <w:p>
      <w:pPr>
        <w:spacing w:after="40" w:before="0"/>
      </w:pPr>
      <w:r>
        <w:t xml:space="preserve">   9.1 Individual Model Performance</w:t>
      </w:r>
    </w:p>
    <w:p>
      <w:pPr>
        <w:spacing w:after="40" w:before="0"/>
      </w:pPr>
      <w:r>
        <w:t xml:space="preserve">   9.2 Ensemble Strategy</w:t>
      </w:r>
    </w:p>
    <w:p>
      <w:pPr>
        <w:spacing w:after="40" w:before="0"/>
      </w:pPr>
      <w:r>
        <w:t xml:space="preserve">   9.3 Classification Metrics</w:t>
      </w:r>
    </w:p>
    <w:p>
      <w:r>
        <w:t xml:space="preserve">   9.4 Prediction Timing Analysis</w:t>
      </w:r>
    </w:p>
    <w:p>
      <w:pPr/>
      <w:r>
        <w:t xml:space="preserve">   9.5 Model Agreement Analysis</w:t>
      </w:r>
    </w:p>
    <w:p>
      <w:r>
        <w:t xml:space="preserve">   9.6 Comparison to PhysioNet Winners</w:t>
      </w:r>
    </w:p>
    <w:p>
      <w:r>
        <w:t>10. Explainability Analysis</w:t>
      </w:r>
    </w:p>
    <w:p>
      <w:r>
        <w:t>11. Technical Challenges and Solutions</w:t>
      </w:r>
    </w:p>
    <w:p>
      <w:pPr/>
      <w:r>
        <w:t>12. Conclusions and Future Work</w:t>
      </w:r>
    </w:p>
    <w:p>
      <w:pPr/>
      <w:r>
        <w:t>This project developed an ensemble sepsis forecasting system achieving 0.4060 utility on the PhysioNet 2019 Challenge validation set, placing it within the winner range (0.36-0.43). The ensemble combines a bidirectional GRU with temporal attention (0.3374 utility) and an improved LightGBM with 244 engineered features (0.3976 utility) using a max strategy.</w:t>
      </w:r>
    </w:p>
    <w:p>
      <w:pPr/>
      <w:r>
        <w:t>Key findings: (1) Feature engineering provided greater performance gains than architectural complexity, with LightGBM's 244 features outperforming the GRU's learned representations. (2) The models exhibit complementary detection patterns, with only 27.7% overlap in true positive predictions, explaining the ensemble's 20% improvement over GRU alone. (3) SHAP analysis revealed that time_since features dominate GRU predictions, indicating the model learned that when labs are ordered predicts sepsis better than the lab values themselves. (4) 60.1% of ensemble true positives occur in the optimal -6h to 0h window, compared to 47.4% for GRU alone.</w:t>
      </w:r>
    </w:p>
    <w:p>
      <w:pPr/>
      <w:r>
        <w:t>The attention mechanism provides clinically interpretable explanations, consistently focusing on the most recent 3 hours of patient data. This aligns with clinical intuition that acute deterioration drives sepsis onset. Future work could explore additional feature engineering, calibrated probability outputs, and validation on external datasets.</w:t>
      </w:r>
    </w:p>
    <w:p>
      <w:r>
        <w:t>References</w:t>
      </w:r>
    </w:p>
    <w:p>
      <w:pPr/>
      <w:r>
        <w:t>[1] Reyna, M.A., et al. "Early Prediction of Sepsis from Clinical Data: The PhysioNet/Computing in Cardiology Challenge 2019." Critical Care Medicine, 2019.</w:t>
      </w:r>
    </w:p>
    <w:p>
      <w:pPr/>
      <w:r>
        <w:t>[2] Ke, G., et al. "LightGBM: A Highly Efficient Gradient Boosting Decision Tree." Advances in Neural Information Processing Systems, 2017.</w:t>
      </w:r>
    </w:p>
    <w:p>
      <w:pPr/>
      <w:r>
        <w:t>[3] Lundberg, S.M. &amp; Lee, S.I. "A Unified Approach to Interpreting Model Predictions." Advances in Neural Information Processing Systems, 2017.</w:t>
      </w:r>
    </w:p>
    <w:p>
      <w:pPr/>
      <w:r>
        <w:t>[4] Bahdanau, D., Cho, K. &amp; Bengio, Y. "Neural Machine Translation by Jointly Learning to Align and Translate." ICLR, 2015.</w:t>
      </w:r>
    </w:p>
    <w:p>
      <w:pPr/>
      <w:r>
        <w:t>[5] Cho, K., et al. "Learning Phrase Representations using RNN Encoder-Decoder for Statistical Machine Translation." EMNLP, 2014.</w:t>
      </w:r>
    </w:p>
    <w:p>
      <w:r>
        <w:t>The 40 clinical variables are organized into three physiological categories. The first group consists of 8 vital signs that are recorded most frequently: heart rate (HR), oxygen saturation (O2Sat), temperature (Temp), systolic blood pressure (SBP), mean arterial pressure (MAP), diastolic blood pressure (DBP), respiration rate (Resp), and end-tidal CO2 (EtCO2). The second group comprises 26 laboratory values that are measured intermittently as part of clinical care, including metabolic panels (glucose, creatinine, BUN, electrolytes), liver function tests (bilirubin, AST, alkaline phosphatase), hematological parameters (WBC, platelets, hemoglobin, hematocrit), coagulation markers (PTT, fibrinogen), blood gas measurements (pH, PaCO2, PaO2, SaO2, base excess, HCO3, FiO2), and the critical sepsis biomarker lactate. The third group contains 6 demographic and administrative variables: age, gender, ICU unit identifiers (Unit1, Unit2), time of hospital admission relative to ICU admission (HospAdmTime), and ICU length of stay in hours (ICULOS).</w:t>
      </w:r>
    </w:p>
    <w:p/>
    <w:tbl>
      <w:tblPr>
        <w:tblStyle w:val="TableGrid"/>
        <w:tblW w:type="auto" w:w="0"/>
        <w:jc w:val="center"/>
        <w:tblLook w:firstColumn="1" w:firstRow="1" w:lastColumn="0" w:lastRow="0" w:noHBand="0" w:noVBand="1" w:val="04A0"/>
      </w:tblPr>
      <w:tblGrid>
        <w:gridCol w:w="4320"/>
        <w:gridCol w:w="4320"/>
      </w:tblGrid>
      <w:tr>
        <w:tc>
          <w:tcPr>
            <w:tcW w:type="dxa" w:w="3402"/>
            <w:shd w:fill="D9E2F3" w:val="clear"/>
          </w:tcPr>
          <w:p>
            <w:r>
              <w:rPr>
                <w:b/>
                <w:sz w:val="18"/>
              </w:rPr>
              <w:t>Property</w:t>
            </w:r>
          </w:p>
        </w:tc>
        <w:tc>
          <w:tcPr>
            <w:tcW w:type="dxa" w:w="5669"/>
            <w:shd w:fill="D9E2F3" w:val="clear"/>
          </w:tcPr>
          <w:p>
            <w:r>
              <w:rPr>
                <w:b/>
                <w:sz w:val="18"/>
              </w:rPr>
              <w:t>Value</w:t>
            </w:r>
          </w:p>
        </w:tc>
      </w:tr>
      <w:tr>
        <w:tc>
          <w:tcPr>
            <w:tcW w:type="dxa" w:w="3402"/>
          </w:tcPr>
          <w:p>
            <w:r>
              <w:rPr>
                <w:sz w:val="18"/>
              </w:rPr>
              <w:t>Total patients</w:t>
            </w:r>
          </w:p>
        </w:tc>
        <w:tc>
          <w:tcPr>
            <w:tcW w:type="dxa" w:w="5669"/>
          </w:tcPr>
          <w:p>
            <w:r>
              <w:rPr>
                <w:sz w:val="18"/>
              </w:rPr>
              <w:t>~40,336</w:t>
            </w:r>
          </w:p>
        </w:tc>
      </w:tr>
      <w:tr>
        <w:tc>
          <w:tcPr>
            <w:tcW w:type="dxa" w:w="3402"/>
          </w:tcPr>
          <w:p>
            <w:r>
              <w:rPr>
                <w:sz w:val="18"/>
              </w:rPr>
              <w:t>Training set A (BIDMC)</w:t>
            </w:r>
          </w:p>
        </w:tc>
        <w:tc>
          <w:tcPr>
            <w:tcW w:type="dxa" w:w="5669"/>
          </w:tcPr>
          <w:p>
            <w:r>
              <w:rPr>
                <w:sz w:val="18"/>
              </w:rPr>
              <w:t>20,336 patients</w:t>
            </w:r>
          </w:p>
        </w:tc>
      </w:tr>
      <w:tr>
        <w:tc>
          <w:tcPr>
            <w:tcW w:type="dxa" w:w="3402"/>
          </w:tcPr>
          <w:p>
            <w:r>
              <w:rPr>
                <w:sz w:val="18"/>
              </w:rPr>
              <w:t>Training set B (Emory)</w:t>
            </w:r>
          </w:p>
        </w:tc>
        <w:tc>
          <w:tcPr>
            <w:tcW w:type="dxa" w:w="5669"/>
          </w:tcPr>
          <w:p>
            <w:r>
              <w:rPr>
                <w:sz w:val="18"/>
              </w:rPr>
              <w:t>20,000 patients</w:t>
            </w:r>
          </w:p>
        </w:tc>
      </w:tr>
      <w:tr>
        <w:tc>
          <w:tcPr>
            <w:tcW w:type="dxa" w:w="3402"/>
          </w:tcPr>
          <w:p>
            <w:r>
              <w:rPr>
                <w:sz w:val="18"/>
              </w:rPr>
              <w:t>Variables per hour</w:t>
            </w:r>
          </w:p>
        </w:tc>
        <w:tc>
          <w:tcPr>
            <w:tcW w:type="dxa" w:w="5669"/>
          </w:tcPr>
          <w:p>
            <w:r>
              <w:rPr>
                <w:sz w:val="18"/>
              </w:rPr>
              <w:t>40 clinical + 1 label</w:t>
            </w:r>
          </w:p>
        </w:tc>
      </w:tr>
      <w:tr>
        <w:tc>
          <w:tcPr>
            <w:tcW w:type="dxa" w:w="3402"/>
          </w:tcPr>
          <w:p>
            <w:r>
              <w:rPr>
                <w:sz w:val="18"/>
              </w:rPr>
              <w:t>Vital signs</w:t>
            </w:r>
          </w:p>
        </w:tc>
        <w:tc>
          <w:tcPr>
            <w:tcW w:type="dxa" w:w="5669"/>
          </w:tcPr>
          <w:p>
            <w:r>
              <w:rPr>
                <w:sz w:val="18"/>
              </w:rPr>
              <w:t>8 (HR, O2Sat, Temp, SBP, MAP, DBP, Resp, EtCO2)</w:t>
            </w:r>
          </w:p>
        </w:tc>
      </w:tr>
      <w:tr>
        <w:tc>
          <w:tcPr>
            <w:tcW w:type="dxa" w:w="3402"/>
          </w:tcPr>
          <w:p>
            <w:r>
              <w:rPr>
                <w:sz w:val="18"/>
              </w:rPr>
              <w:t>Laboratory values</w:t>
            </w:r>
          </w:p>
        </w:tc>
        <w:tc>
          <w:tcPr>
            <w:tcW w:type="dxa" w:w="5669"/>
          </w:tcPr>
          <w:p>
            <w:r>
              <w:rPr>
                <w:sz w:val="18"/>
              </w:rPr>
              <w:t>26</w:t>
            </w:r>
          </w:p>
        </w:tc>
      </w:tr>
      <w:tr>
        <w:tc>
          <w:tcPr>
            <w:tcW w:type="dxa" w:w="3402"/>
          </w:tcPr>
          <w:p>
            <w:r>
              <w:rPr>
                <w:sz w:val="18"/>
              </w:rPr>
              <w:t>Demographics</w:t>
            </w:r>
          </w:p>
        </w:tc>
        <w:tc>
          <w:tcPr>
            <w:tcW w:type="dxa" w:w="5669"/>
          </w:tcPr>
          <w:p>
            <w:r>
              <w:rPr>
                <w:sz w:val="18"/>
              </w:rPr>
              <w:t>6 (Age, Gender, Unit1, Unit2, HospAdmTime, ICULOS)</w:t>
            </w:r>
          </w:p>
        </w:tc>
      </w:tr>
      <w:tr>
        <w:tc>
          <w:tcPr>
            <w:tcW w:type="dxa" w:w="3402"/>
          </w:tcPr>
          <w:p>
            <w:r>
              <w:rPr>
                <w:sz w:val="18"/>
              </w:rPr>
              <w:t>Sepsis prevalence</w:t>
            </w:r>
          </w:p>
        </w:tc>
        <w:tc>
          <w:tcPr>
            <w:tcW w:type="dxa" w:w="5669"/>
          </w:tcPr>
          <w:p>
            <w:r>
              <w:rPr>
                <w:sz w:val="18"/>
              </w:rPr>
              <w:t>~7% of patients</w:t>
            </w:r>
          </w:p>
        </w:tc>
      </w:tr>
      <w:tr>
        <w:tc>
          <w:tcPr>
            <w:tcW w:type="dxa" w:w="3402"/>
          </w:tcPr>
          <w:p>
            <w:r>
              <w:rPr>
                <w:sz w:val="18"/>
              </w:rPr>
              <w:t>Hourly sepsis rate</w:t>
            </w:r>
          </w:p>
        </w:tc>
        <w:tc>
          <w:tcPr>
            <w:tcW w:type="dxa" w:w="5669"/>
          </w:tcPr>
          <w:p>
            <w:r>
              <w:rPr>
                <w:sz w:val="18"/>
              </w:rPr>
              <w:t>~1.8% of records</w:t>
            </w:r>
          </w:p>
        </w:tc>
      </w:tr>
      <w:tr>
        <w:tc>
          <w:tcPr>
            <w:tcW w:type="dxa" w:w="3402"/>
          </w:tcPr>
          <w:p>
            <w:r>
              <w:rPr>
                <w:sz w:val="18"/>
              </w:rPr>
              <w:t>Median stay length</w:t>
            </w:r>
          </w:p>
        </w:tc>
        <w:tc>
          <w:tcPr>
            <w:tcW w:type="dxa" w:w="5669"/>
          </w:tcPr>
          <w:p>
            <w:r>
              <w:rPr>
                <w:sz w:val="18"/>
              </w:rPr>
              <w:t>~30-40 hours</w:t>
            </w:r>
          </w:p>
        </w:tc>
      </w:tr>
      <w:tr>
        <w:tc>
          <w:tcPr>
            <w:tcW w:type="dxa" w:w="3402"/>
          </w:tcPr>
          <w:p>
            <w:r>
              <w:rPr>
                <w:sz w:val="18"/>
              </w:rPr>
              <w:t>Recording frequency</w:t>
            </w:r>
          </w:p>
        </w:tc>
        <w:tc>
          <w:tcPr>
            <w:tcW w:type="dxa" w:w="5669"/>
          </w:tcPr>
          <w:p>
            <w:r>
              <w:rPr>
                <w:sz w:val="18"/>
              </w:rPr>
              <w:t>Hourly</w:t>
            </w:r>
          </w:p>
        </w:tc>
      </w:tr>
    </w:tbl>
    <w:p/>
    <w:p>
      <w:r>
        <w:t>One of the most significant challenges of this dataset is the extreme degree of missingness in the clinical variables. Vital signs, which are recorded by bedside monitors, exhibit relatively modest missingness rates of approximately 1-15%. However, laboratory values are measured only when clinically indicated, resulting in missingness rates that commonly exceed 80% and reach as high as 97% for certain analytes such as EtCO2, fibrinogen, and troponin I. This missingness is not random; it is informative. The decision to order a laboratory test is itself a clinical action driven by the clinician's assessment of the patient's condition. A sudden increase in laboratory ordering frequency may signal clinical concern about deterioration, even before the test results themselves reveal abnormalities. Our preprocessing pipeline explicitly captures these missingness patterns as features, as detailed in Section 3.</w:t>
      </w:r>
    </w:p>
    <w:p>
      <w:r>
        <w:t>Class imbalance represents another substantial challenge. Approximately 7% of patients develop sepsis at some point during their ICU stay, and within those patients, the sepsis label is only positive for a subset of their hourly records, resulting in an overall hourly positive rate of roughly 1.8%. This severe imbalance means that a naive classifier predicting all-negative would achieve over 98% accuracy, rendering standard accuracy metrics useless for model evaluation. The challenge organizers addressed this by introducing a custom utility score that explicitly accounts for the clinical value of timely prediction, as described in Section 7.</w:t>
      </w:r>
    </w:p>
    <w:p>
      <w:pPr>
        <w:pStyle w:val="Heading1"/>
      </w:pPr>
      <w:r>
        <w:t>3. Preprocessing Pipeline</w:t>
      </w:r>
    </w:p>
    <w:p>
      <w:r>
        <w:t>The preprocessing pipeline transforms raw PSV files into model-ready tensors through a sequence of carefully designed steps. Each step addresses a specific challenge inherent in clinical time-series data, and the overall design prioritizes clinical validity by ensuring that no future information leaks into past observations.</w:t>
      </w:r>
    </w:p>
    <w:p>
      <w:pPr>
        <w:pStyle w:val="Heading2"/>
      </w:pPr>
      <w:r>
        <w:t>Data Loading</w:t>
      </w:r>
    </w:p>
    <w:p>
      <w:r>
        <w:t>Raw patient data is loaded from PSV files using the preprocessing module. Each file corresponds to a single patient and contains a tabular record of hourly observations across all 41 columns (40 features plus the SepsisLabel target). The loading function reads files from both training set directories (training_setA and training_setB) and organizes them into a dictionary keyed by patient ID, which is extracted from the filename. An optional max_patients parameter allows limiting the number of loaded patients for rapid prototyping and debugging.</w:t>
      </w:r>
    </w:p>
    <w:p>
      <w:pPr>
        <w:pStyle w:val="Heading2"/>
      </w:pPr>
      <w:r>
        <w:t>Forward-Fill Imputation</w:t>
      </w:r>
    </w:p>
    <w:p>
      <w:r>
        <w:t>The first imputation step applies forward-fill within each patient's time series. This strategy carries the last observed value forward to fill subsequent missing entries, implementing the clinical assumption that a patient's physiological state persists until a new measurement indicates otherwise. Crucially, forward-fill operates strictly in the temporal direction: it never uses future values to fill past gaps, which would constitute data leakage. Leading NaN values that occur before the first observation of a given feature remain unfilled at this stage and are handled by the subsequent population-level imputation step.</w:t>
      </w:r>
    </w:p>
    <w:p>
      <w:pPr>
        <w:pStyle w:val="Heading2"/>
      </w:pPr>
      <w:r>
        <w:t>Population-Level Imputation</w:t>
      </w:r>
    </w:p>
    <w:p>
      <w:r>
        <w:t>After forward-filling, any remaining missing values are imputed using population-level statistics computed exclusively from the training set. For each of the 40 input features, the training-set median is calculated across all patients and all time steps after forward-filling. These median values serve as fill values for any remaining NaNs, which typically correspond to features that were never measured for a given patient. The use of training-set statistics prevents information leakage from the validation set. When a feature's median is itself undefined (due to complete missingness across the training set), a default value of zero is used.</w:t>
      </w:r>
    </w:p>
    <w:p>
      <w:pPr>
        <w:pStyle w:val="Heading2"/>
      </w:pPr>
      <w:r>
        <w:t>Missingness Masks and Time-Since Features</w:t>
      </w:r>
    </w:p>
    <w:p>
      <w:r>
        <w:t>Before any imputation is performed, the pipeline captures two types of missingness information from the raw data. First, binary missingness masks are created for each of the 40 input features, where a value of 1 indicates that the original observation was missing and 0 indicates it was present. These masks allow the model to distinguish between imputed and genuinely observed values, which is essential given the informative nature of clinical missingness.</w:t>
      </w:r>
    </w:p>
    <w:p>
      <w:r>
        <w:t>Second, time-since-last-observation features are computed for each variable. At each time step, this feature records the number of hours elapsed since the most recent real observation of that variable. When a measurement is taken, the counter resets to zero; for each subsequent missing hour, it increments by one. Before the first observation in a patient's record, the counter begins at 1 and increases. These time-since features encode temporal density of measurement, providing the model with information about how stale each imputed value might be. A large time-since value for a vital sign, for instance, signals that the current imputed value may no longer reflect the patient's actual state.</w:t>
      </w:r>
    </w:p>
    <w:p>
      <w:pPr>
        <w:pStyle w:val="Heading2"/>
      </w:pPr>
      <w:r>
        <w:t>Normalization</w:t>
      </w:r>
    </w:p>
    <w:p>
      <w:r>
        <w:t>After imputation, the 40 value features are normalized using z-score standardization with winsorizing. For each feature, the 1st and 99th percentiles are computed from the training set. Values are first clipped to these bounds to reduce the influence of extreme outliers, which are common in clinical data due to measurement artifacts and physiological extremes. The clipped values are then standardized by subtracting the mean and dividing by the standard deviation, both computed from the clipped training data. For constant-valued features (standard deviation of zero), a standard deviation of 1.0 is used to avoid division by zero. Missingness masks and time-since features are not normalized, as they already have natural scales (binary and integer-valued, respectively).</w:t>
      </w:r>
    </w:p>
    <w:p>
      <w:pPr>
        <w:pStyle w:val="Heading2"/>
      </w:pPr>
      <w:r>
        <w:t>Train/Validation Split</w:t>
      </w:r>
    </w:p>
    <w:p>
      <w:r>
        <w:t>The dataset is split into training and validation sets at the patient level using an 85/15 ratio with a fixed random seed of 42 for reproducibility. Patient-level splitting is critical for clinical prediction tasks: splitting at the individual record level would allow the model to see future observations from the same patient during training, creating an artificially optimistic evaluation. With patient-level splitting, all hourly records from a given patient belong entirely to either the training or validation set.</w:t>
      </w:r>
    </w:p>
    <w:p>
      <w:pPr>
        <w:pStyle w:val="Heading2"/>
      </w:pPr>
      <w:r>
        <w:t>Sliding Window Construction</w:t>
      </w:r>
    </w:p>
    <w:p>
      <w:r>
        <w:t>The PyTorch dataset implementation converts the variable-length patient records into fixed-length input windows for the model. For each patient hour that requires a prediction, a sliding window of the preceding 24 hours (configurable via the seq_length parameter) is extracted. For early hours where fewer than 24 hours of history are available, the window is left-padded with zeros and a binary padding mask is created to indicate which positions contain real data. This padding mask is passed to the attention mechanism, which uses it to prevent the model from attending to padded positions. Each sample in the dataset thus consists of four components: the feature window (24 x 120), the binary label, the padding mask (24,), the patient ID, and the hour index within the patient's stay.</w:t>
      </w:r>
    </w:p>
    <w:p>
      <w:pPr>
        <w:pStyle w:val="Heading2"/>
      </w:pPr>
      <w:r>
        <w:t>Caching</w:t>
      </w:r>
    </w:p>
    <w:p>
      <w:r>
        <w:t>Preprocessing approximately 40,000 patients is computationally intensive, requiring roughly 10-15 minutes. To avoid repeating this work across training runs, the pipeline implements a caching mechanism. After the first preprocessing pass, all processed DataFrames along with population statistics are serialized to a pickle file in the data/processed/ directory. The cache filename includes a SHA-256 hash of the relevant configuration parameters (sequence length, validation split, max patients, input size, and random seed), ensuring that different configurations produce separate cache files. On subsequent runs, the pipeline checks whether a valid cache exists and whether it is newer than the raw data; if so, it loads the cached data directly, reducing startup time from minutes to seconds.</w:t>
      </w:r>
    </w:p>
    <w:p>
      <w:pPr>
        <w:pStyle w:val="Heading1"/>
      </w:pPr>
      <w:r>
        <w:t>4. Feature Engineering</w:t>
      </w:r>
    </w:p>
    <w:p>
      <w:r>
        <w:t>The feature engineering pipeline transforms the original 40 clinical variables into a 120-dimensional feature vector at each time step. This expansion is achieved by augmenting the raw values with two additional representations that capture the measurement process itself, rather than just the measured values.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D9E2F3" w:val="clear"/>
          </w:tcPr>
          <w:p>
            <w:r>
              <w:rPr>
                <w:b/>
                <w:sz w:val="18"/>
              </w:rPr>
              <w:t>Feature Type</w:t>
            </w:r>
          </w:p>
        </w:tc>
        <w:tc>
          <w:tcPr>
            <w:tcW w:type="dxa" w:w="1134"/>
            <w:shd w:fill="D9E2F3" w:val="clear"/>
          </w:tcPr>
          <w:p>
            <w:r>
              <w:rPr>
                <w:b/>
                <w:sz w:val="18"/>
              </w:rPr>
              <w:t>Count</w:t>
            </w:r>
          </w:p>
        </w:tc>
        <w:tc>
          <w:tcPr>
            <w:tcW w:type="dxa" w:w="3402"/>
            <w:shd w:fill="D9E2F3" w:val="clear"/>
          </w:tcPr>
          <w:p>
            <w:r>
              <w:rPr>
                <w:b/>
                <w:sz w:val="18"/>
              </w:rPr>
              <w:t>Description</w:t>
            </w:r>
          </w:p>
        </w:tc>
        <w:tc>
          <w:tcPr>
            <w:tcW w:type="dxa" w:w="2835"/>
            <w:shd w:fill="D9E2F3" w:val="clear"/>
          </w:tcPr>
          <w:p>
            <w:r>
              <w:rPr>
                <w:b/>
                <w:sz w:val="18"/>
              </w:rPr>
              <w:t>Example</w:t>
            </w:r>
          </w:p>
        </w:tc>
      </w:tr>
      <w:tr>
        <w:tc>
          <w:tcPr>
            <w:tcW w:type="dxa" w:w="2268"/>
          </w:tcPr>
          <w:p>
            <w:r>
              <w:rPr>
                <w:sz w:val="18"/>
              </w:rPr>
              <w:t>Raw values</w:t>
            </w:r>
          </w:p>
        </w:tc>
        <w:tc>
          <w:tcPr>
            <w:tcW w:type="dxa" w:w="1134"/>
          </w:tcPr>
          <w:p>
            <w:r>
              <w:rPr>
                <w:sz w:val="18"/>
              </w:rPr>
              <w:t>40</w:t>
            </w:r>
          </w:p>
        </w:tc>
        <w:tc>
          <w:tcPr>
            <w:tcW w:type="dxa" w:w="3402"/>
          </w:tcPr>
          <w:p>
            <w:r>
              <w:rPr>
                <w:sz w:val="18"/>
              </w:rPr>
              <w:t>Normalized clinical measurements</w:t>
            </w:r>
          </w:p>
        </w:tc>
        <w:tc>
          <w:tcPr>
            <w:tcW w:type="dxa" w:w="2835"/>
          </w:tcPr>
          <w:p>
            <w:r>
              <w:rPr>
                <w:sz w:val="18"/>
              </w:rPr>
              <w:t>HR = 0.85 (z-scored)</w:t>
            </w:r>
          </w:p>
        </w:tc>
      </w:tr>
      <w:tr>
        <w:tc>
          <w:tcPr>
            <w:tcW w:type="dxa" w:w="2268"/>
          </w:tcPr>
          <w:p>
            <w:r>
              <w:rPr>
                <w:sz w:val="18"/>
              </w:rPr>
              <w:t>Missingness masks</w:t>
            </w:r>
          </w:p>
        </w:tc>
        <w:tc>
          <w:tcPr>
            <w:tcW w:type="dxa" w:w="1134"/>
          </w:tcPr>
          <w:p>
            <w:r>
              <w:rPr>
                <w:sz w:val="18"/>
              </w:rPr>
              <w:t>40</w:t>
            </w:r>
          </w:p>
        </w:tc>
        <w:tc>
          <w:tcPr>
            <w:tcW w:type="dxa" w:w="3402"/>
          </w:tcPr>
          <w:p>
            <w:r>
              <w:rPr>
                <w:sz w:val="18"/>
              </w:rPr>
              <w:t>Binary: 1 = originally missing</w:t>
            </w:r>
          </w:p>
        </w:tc>
        <w:tc>
          <w:tcPr>
            <w:tcW w:type="dxa" w:w="2835"/>
          </w:tcPr>
          <w:p>
            <w:r>
              <w:rPr>
                <w:sz w:val="18"/>
              </w:rPr>
              <w:t>HR_missing = 0</w:t>
            </w:r>
          </w:p>
        </w:tc>
      </w:tr>
      <w:tr>
        <w:tc>
          <w:tcPr>
            <w:tcW w:type="dxa" w:w="2268"/>
          </w:tcPr>
          <w:p>
            <w:r>
              <w:rPr>
                <w:sz w:val="18"/>
              </w:rPr>
              <w:t>Time-since features</w:t>
            </w:r>
          </w:p>
        </w:tc>
        <w:tc>
          <w:tcPr>
            <w:tcW w:type="dxa" w:w="1134"/>
          </w:tcPr>
          <w:p>
            <w:r>
              <w:rPr>
                <w:sz w:val="18"/>
              </w:rPr>
              <w:t>40</w:t>
            </w:r>
          </w:p>
        </w:tc>
        <w:tc>
          <w:tcPr>
            <w:tcW w:type="dxa" w:w="3402"/>
          </w:tcPr>
          <w:p>
            <w:r>
              <w:rPr>
                <w:sz w:val="18"/>
              </w:rPr>
              <w:t>Hours since last observation</w:t>
            </w:r>
          </w:p>
        </w:tc>
        <w:tc>
          <w:tcPr>
            <w:tcW w:type="dxa" w:w="2835"/>
          </w:tcPr>
          <w:p>
            <w:r>
              <w:rPr>
                <w:sz w:val="18"/>
              </w:rPr>
              <w:t>Creatinine_time_since = 12</w:t>
            </w:r>
          </w:p>
        </w:tc>
      </w:tr>
      <w:tr>
        <w:tc>
          <w:tcPr>
            <w:tcW w:type="dxa" w:w="2268"/>
          </w:tcPr>
          <w:p>
            <w:r>
              <w:rPr>
                <w:sz w:val="18"/>
              </w:rPr>
              <w:t>Total</w:t>
            </w:r>
          </w:p>
        </w:tc>
        <w:tc>
          <w:tcPr>
            <w:tcW w:type="dxa" w:w="1134"/>
          </w:tcPr>
          <w:p>
            <w:r>
              <w:rPr>
                <w:sz w:val="18"/>
              </w:rPr>
              <w:t>120</w:t>
            </w:r>
          </w:p>
        </w:tc>
        <w:tc>
          <w:tcPr>
            <w:tcW w:type="dxa" w:w="3402"/>
          </w:tcPr>
          <w:p>
            <w:r>
              <w:rPr>
                <w:sz w:val="18"/>
              </w:rPr>
              <w:t>Complete feature vector per hour</w:t>
            </w:r>
          </w:p>
        </w:tc>
        <w:tc>
          <w:tcPr>
            <w:tcW w:type="dxa" w:w="2835"/>
          </w:tcPr>
          <w:p>
            <w:r>
              <w:rPr>
                <w:sz w:val="18"/>
              </w:rPr>
            </w:r>
          </w:p>
        </w:tc>
      </w:tr>
    </w:tbl>
    <w:p/>
    <w:p>
      <w:r>
        <w:t>The 40 raw value features represent the normalized clinical measurements after forward-fill and population-level imputation. These include 8 vital signs that capture the patient's core physiological state (hemodynamics, oxygenation, temperature regulation), 26 laboratory values that reflect organ function and metabolic status, and 6 demographic variables that provide static patient context. After z-score normalization with winsorizing, these values are centered around zero with unit variance, ensuring that no single feature dominates the input simply due to its natural scale.</w:t>
      </w:r>
    </w:p>
    <w:p>
      <w:r>
        <w:t>The 40 missingness mask features encode a binary indicator for each variable at each time step, capturing whether the original observation was missing. In ICU settings, the pattern of missing data is highly informative. When a clinician orders a battery of laboratory tests, it typically reflects a heightened level of concern about the patient's condition. Conversely, a routine monitoring period with only vital signs recorded suggests clinical stability. The model can learn these ordering patterns as indirect signals of clinical judgment, effectively leveraging the expertise embedded in the data collection process.</w:t>
      </w:r>
    </w:p>
    <w:p>
      <w:r>
        <w:t>The 40 time-since features complement the missingness masks by encoding not just whether a value is missing, but how long ago the last real measurement was taken. A heart rate reading from one hour ago carries different reliability than one from twelve hours ago, even though both appear as identical imputed values after forward-filling. The time-since counter provides the model with this freshness information, enabling it to weight recent observations more heavily than stale ones. These features are particularly valuable for laboratory values, where measurement intervals of 12-24 hours are common and the patient's true state may have changed substantially since the last observation.</w:t>
      </w:r>
    </w:p>
    <w:p>
      <w:r>
        <w:t>This tripartite feature representation, encoding what was measured, what was not measured, and when each measurement occurred, provides the model with a comprehensive view of both the patient's physiological state and the clinical monitoring context. The approach is grounded in the observation that in clinical time-series data, the measurement process itself carries diagnostic information that is lost when missingness is treated simply as a nuisance to be imputed away.</w:t>
      </w:r>
    </w:p>
    <w:p>
      <w:pPr>
        <w:pStyle w:val="Heading1"/>
      </w:pPr>
      <w:r>
        <w:t>5. Model Architectures</w:t>
      </w:r>
    </w:p>
    <w:p>
      <w:r>
        <w:t>This project evaluates three model configurations for sepsis prediction: a LightGBM gradient boosting baseline, an improved LightGBM with enhanced feature engineering, and a bidirectional GRU with temporal attention. The final system combines the improved LightGBM and GRU into an ensemble that achieves a utility score of 0.4060.</w:t>
      </w:r>
    </w:p>
    <w:p>
      <w:pPr>
        <w:pStyle w:val="Heading2"/>
      </w:pPr>
      <w:r>
        <w:t>5.1 LightGBM Baseline</w:t>
      </w:r>
    </w:p>
    <w:p>
      <w:r>
        <w:t>Gradient boosted decision trees have established themselves as strong baselines for tabular clinical data, and LightGBM in particular offers efficient training with built-in handling of class imbalance. The baseline model operates on a flattened feature representation: for each hourly prediction, the 120 preprocessed features are augmented with rolling window statistics (mean, min, max, standard deviation) and trend features (linear regression slope) computed over the preceding 6 hours for each of the 8 vital signs. This produces 120 + 8 x 5 = 160 features per sample, capturing recent temporal context without requiring a sequential model architecture.</w:t>
      </w:r>
    </w:p>
    <w:p>
      <w:r>
        <w:t>The LightGBM model uses gradient-based one-side sampling (GOSS) with 63 leaves per tree, a learning rate of 0.05, and feature and bagging fractions of 0.8 each to prevent overfitting. The is_unbalance flag is enabled to automatically adjust for the severe class imbalance. Training employs up to 1,000 boosting rounds with early stopping after 50 rounds of no improvement on the validation set. After training, the optimal classification threshold is determined by sweeping from 0.10 to 0.90 in increments of 0.05 and selecting the threshold that maximizes the PhysioNet utility score on the validation set. This threshold search is critical because the asymmetric costs in the utility function mean that the default 0.5 threshold is rarely optimal.</w:t>
      </w:r>
    </w:p>
    <w:p>
      <w:r>
        <w:t>The LightGBM baseline achieved a utility score of 0.137 with an optimal threshold of 0.15. This limited performance motivated the development of an improved LightGBM with substantially richer feature engineering, described in Section 5.2.</w:t>
      </w:r>
    </w:p>
    <w:p>
      <w:pPr>
        <w:pStyle w:val="Heading2"/>
      </w:pPr>
      <w:r>
        <w:t>5.2 Improved LightGBM</w:t>
      </w:r>
    </w:p>
    <w:p>
      <w:pPr/>
      <w:r>
        <w:t>The improved LightGBM addresses the baseline's limitations through extensive feature engineering and tuned hyperparameters. The feature set expands from 160 to 244 features per sample. Beyond the original 120 base features and 40 rolling statistics (6-hour window), the improved model adds 12-hour and 24-hour rolling windows (32 features each for mean, min, max, and std of 8 vital signs), rate-of-change features (current value minus value 6 hours ago for each vital), time-weighted exponential averages with a 3-hour half-life, and four clinical interaction features: the HR-SBP product (a proxy for hemodynamic stability), MAP trend over 6 hours, the Resp-HR product, and absolute temperature deviation.</w:t>
      </w:r>
    </w:p>
    <w:p>
      <w:pPr/>
      <w:r>
        <w:t>The improved hyperparameters use 127 leaves (versus 63), a learning rate of 0.05, minimum 100 samples per leaf for regularization, and mild L1/L2 penalties of 0.01 each. Critically, early stopping is disabled in favor of a fixed 500 trees, as experiments showed that early stopping terminated training prematurely. With 1,000 trees the model overfitted (utility dropped from 0.3976 to 0.3871 despite lower validation loss), confirming that 500 trees strikes the optimal bias-variance trade-off. The improved LightGBM achieves a utility score of 0.3976 with a threshold of 0.50, representing a 2.9x improvement over the original baseline.</w:t>
      </w:r>
    </w:p>
    <w:p>
      <w:pPr/>
      <w:r>
        <w:t>The top features by importance (gain) reveal that ICULOS dominates at 4,488,875 gain, followed by HospAdmTime (1,347,548), pH_time_since (1,169,072), and Temp_rolling_max (825,519). The prominence of ICULOS and HospAdmTime suggests the model learned that a patient's position in their ICU trajectory is highly predictive, while the rolling temperature maximum and pH timing capture early physiological deterioration.</w:t>
      </w:r>
    </w:p>
    <w:p>
      <w:pPr>
        <w:pStyle w:val="Heading2"/>
      </w:pPr>
      <w:r>
        <w:t>5.3 GRU with Temporal Attention</w:t>
      </w:r>
    </w:p>
    <w:p>
      <w:r>
        <w:t>The primary model employs a Gated Recurrent Unit (GRU) architecture augmented with temporal attention. GRUs were selected over Long Short-Term Memory (LSTM) networks based on several practical considerations. Both architectures are capable of learning long-range temporal dependencies, but GRUs achieve comparable performance with fewer parameters due to their simpler gating structure (two gates versus LSTM's three). This reduction in parameters leads to faster training and lower memory consumption, which is relevant when training on a consumer GPU with 8 GB of VRAM. Additionally, empirical evidence in the clinical time-series literature suggests that GRUs perform on par with LSTMs for ICU prediction tasks where the relevant temporal patterns span hours to days rather than the much longer dependencies that might favor LSTMs.</w:t>
      </w:r>
    </w:p>
    <w:p>
      <w:r>
        <w:t>The model architecture follows a sequential design: Input (120 features) followed by LayerNorm, followed by a Bidirectional GRU (hidden size 256, 1 layer), followed by Temporal Attention (Bahdanau, attention dimension 64), followed by a fully connected classification head (512 to 64 to 1). The total model comprises 646,641 trainable parameters.</w:t>
      </w:r>
    </w:p>
    <w:p>
      <w:r>
        <w:t>The temporal attention mechanism follows the additive (Bahdanau) formulation. For each GRU hidden state h_t, a scalar attention score is computed as: score_t = v^T * tanh(W * h_t + b), where W and v are learned parameters. These scores are normalized via softmax to produce a probability distribution over time steps, which serves as the attention weights. The final context vector is computed as the weighted sum of all hidden states, effectively allowing the model to focus on the most diagnostically relevant hours within the 24-hour window. The attention mechanism uses a projection dimension of 64, reducing the 256-dimensional hidden states before scoring.</w:t>
      </w:r>
    </w:p>
    <w:p>
      <w:r>
        <w:t>The attention mechanism serves a dual purpose in this architecture. From a modeling perspective, it provides a learned pooling strategy that is more flexible than simply taking the last hidden state or an unweighted average. From an interpretability perspective, the attention weights offer a transparent window into which time steps the model considers most important for each prediction, enabling clinicians to assess whether the model's temporal focus aligns with clinical reasoning. This is discussed further in Section 10.</w:t>
      </w:r>
    </w:p>
    <w:p>
      <w:r>
        <w:t>After attention pooling, the context vector passes through a two-layer classification head: a linear projection from 512 to 64 dimensions with ReLU activation and dropout, followed by a final projection to a single output logit. The complete model contains 646,641 trainable parameters, the majority of which reside in the GRU layer.</w:t>
      </w:r>
    </w:p>
    <w:p>
      <w:pPr>
        <w:pStyle w:val="Heading2"/>
      </w:pPr>
      <w:r>
        <w:t>5.4 Architectural Considerations</w:t>
      </w:r>
    </w:p>
    <w:p>
      <w:r>
        <w:t>The final ensemble utility of 0.4060 places our system competitively among the PhysioNet 2019 Challenge entries, where winners achieved 0.36-0.43 on the hidden test set. The top three entries all used gradient boosting with extensive feature engineering: XGBoost with over 400 features (0.43), LightGBM with feature engineering (0.41), and a gradient boosting ensemble (0.40). Our approach uniquely combines a deep learning model with gradient boosting, leveraging the complementary strengths of each paradigm.</w:t>
      </w:r>
    </w:p>
    <w:p>
      <w:r>
        <w:t>The key insight that emerged from our experimentation is that for this particular clinical prediction task, the quality of input features and preprocessing matters more than the choice of neural architecture. The tripartite feature representation (values, missingness, time-since) provides the model with rich information that a more complex architecture cannot recover if it is not present in the input. This observation aligns with findings from several PhysioNet 2019 Challenge participants, where well-engineered gradient boosting models sometimes outperformed neural approaches that used raw inputs alone.</w:t>
      </w:r>
    </w:p>
    <w:p>
      <w:pPr>
        <w:pStyle w:val="Heading1"/>
      </w:pPr>
      <w:r>
        <w:t>6. Training Methodology</w:t>
      </w:r>
    </w:p>
    <w:p>
      <w:r>
        <w:t>The training procedure for the GRU model is designed to address the specific challenges of sepsis prediction, particularly the severe class imbalance and the need for calibrated probability outputs. Training is orchestrated by the SepsisTrainer class, which encapsulates the full training loop including loss computation, optimization, learning rate scheduling, validation, and model checkpointing.</w:t>
      </w:r>
    </w:p>
    <w:p>
      <w:r>
        <w:t>The loss function is weighted binary cross-entropy with logits, which combines a sigmoid activation and binary cross-entropy loss in a single numerically stable operation. To address the class imbalance (approximately 1.8% positive rate at the hourly level), a positive class weight is applied that upweights the contribution of sepsis-positive samples to the loss. This weight is computed automatically as the ratio of negative to positive samples in the training set, which yields a weight of approximately 54. In the optimized configuration, this weight is further multiplied by a factor of 2.0, producing an effective positive weight of approximately 108. This aggressive upweighting encourages the model to prioritize sensitivity (detecting sepsis cases) over specificity (avoiding false alarms), which is aligned with the clinical utility function where missing a sepsis case carries a far greater penalty than a false alarm.</w:t>
      </w:r>
    </w:p>
    <w:p>
      <w:r>
        <w:t>Optimization uses the Adam optimizer with a learning rate of 0.00095 and weight decay of 0.0001 for L2 regularization. The learning rate was identified through Optuna hyperparameter search as optimal for this architecture. A ReduceLROnPlateau scheduler monitors the validation loss with a patience of 5 epochs and a reduction factor of 0.5, with a minimum learning rate floor of 0.00001. This adaptive schedule allows the model to take larger steps early in training and fine-tune with smaller steps as it approaches convergence.</w:t>
      </w:r>
    </w:p>
    <w:p>
      <w:r>
        <w:t>Gradient clipping with a maximum norm of 1.0 is applied at every optimization step to prevent the exploding gradient problem that can affect recurrent networks, particularly when processing long sequences or encountering outlier samples. Mixed precision training (FP16) is enabled on CUDA devices using PyTorch's automatic mixed precision (AMP) with gradient scaling, which approximately halves memory consumption and accelerates computation on modern GPUs without measurable impact on model quality.</w:t>
      </w:r>
    </w:p>
    <w:p>
      <w:r>
        <w:t>Early stopping is implemented with a patience of 10 epochs, monitoring the validation utility score. When a new best utility score is achieved, the model checkpoint (including model weights, optimizer state, utility score, and optimal threshold) is saved. Training terminates after 50 epochs or when 10 consecutive epochs fail to improve the validation utility, whichever comes first. The final model used for evaluation is always the checkpoint corresponding to the best validation utility, not the model at the end of training. TensorBoard logging records training loss, validation loss, utility score, threshold, and learning rate at each epoch for monitoring and diagnostics.</w:t>
      </w:r>
    </w:p>
    <w:p>
      <w:pPr>
        <w:pStyle w:val="Heading1"/>
      </w:pPr>
      <w:r>
        <w:t>7. Evaluation Metric: Utility Score</w:t>
      </w:r>
    </w:p>
    <w:p>
      <w:r>
        <w:t>Standard classification metrics such as accuracy, AUROC, and F1 score are inadequate for evaluating sepsis prediction systems because they fail to account for the clinical context of the predictions. Accuracy is meaningless when 98% of samples are negative. AUROC, while threshold-independent, treats all types of errors equally and does not capture the time-sensitive nature of sepsis detection. A model that correctly identifies sepsis three hours after onset receives the same AUROC credit as one that detects it six hours before onset, despite the profound difference in clinical impact.</w:t>
      </w:r>
    </w:p>
    <w:p>
      <w:r>
        <w:t>The PhysioNet 2019 Challenge introduced a custom utility score that directly encodes clinical value. The scoring operates at the patient level rather than the sample level: for each patient, the utility depends on the timing of the first positive prediction relative to the true sepsis onset. This design reflects clinical reality, where the relevant decision is when to initiate sepsis treatment for a given patient, not whether each individual hour should be classified as septic.</w:t>
      </w:r>
    </w:p>
    <w:p>
      <w:r>
        <w:t>For sepsis patients, the utility contribution depends on the time difference dt between the first positive prediction and the true onset of sepsis. The reward structure is designed to incentivize early detection while penalizing both premature false alarms and missed cases, as summarized in the following table.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D9E2F3" w:val="clear"/>
          </w:tcPr>
          <w:p>
            <w:r>
              <w:rPr>
                <w:b/>
                <w:sz w:val="18"/>
              </w:rPr>
              <w:t>Timing (dt)</w:t>
            </w:r>
          </w:p>
        </w:tc>
        <w:tc>
          <w:tcPr>
            <w:tcW w:type="dxa" w:w="1984"/>
            <w:shd w:fill="D9E2F3" w:val="clear"/>
          </w:tcPr>
          <w:p>
            <w:r>
              <w:rPr>
                <w:b/>
                <w:sz w:val="18"/>
              </w:rPr>
              <w:t>Condition</w:t>
            </w:r>
          </w:p>
        </w:tc>
        <w:tc>
          <w:tcPr>
            <w:tcW w:type="dxa" w:w="1417"/>
            <w:shd w:fill="D9E2F3" w:val="clear"/>
          </w:tcPr>
          <w:p>
            <w:r>
              <w:rPr>
                <w:b/>
                <w:sz w:val="18"/>
              </w:rPr>
              <w:t>Utility</w:t>
            </w:r>
          </w:p>
        </w:tc>
        <w:tc>
          <w:tcPr>
            <w:tcW w:type="dxa" w:w="3969"/>
            <w:shd w:fill="D9E2F3" w:val="clear"/>
          </w:tcPr>
          <w:p>
            <w:r>
              <w:rPr>
                <w:b/>
                <w:sz w:val="18"/>
              </w:rPr>
              <w:t>Clinical Interpretation</w:t>
            </w:r>
          </w:p>
        </w:tc>
      </w:tr>
      <w:tr>
        <w:tc>
          <w:tcPr>
            <w:tcW w:type="dxa" w:w="1701"/>
          </w:tcPr>
          <w:p>
            <w:r>
              <w:rPr>
                <w:sz w:val="18"/>
              </w:rPr>
              <w:t>dt &lt; -12</w:t>
            </w:r>
          </w:p>
        </w:tc>
        <w:tc>
          <w:tcPr>
            <w:tcW w:type="dxa" w:w="1984"/>
          </w:tcPr>
          <w:p>
            <w:r>
              <w:rPr>
                <w:sz w:val="18"/>
              </w:rPr>
              <w:t>Too early</w:t>
            </w:r>
          </w:p>
        </w:tc>
        <w:tc>
          <w:tcPr>
            <w:tcW w:type="dxa" w:w="1417"/>
          </w:tcPr>
          <w:p>
            <w:r>
              <w:rPr>
                <w:sz w:val="18"/>
              </w:rPr>
              <w:t>-0.05</w:t>
            </w:r>
          </w:p>
        </w:tc>
        <w:tc>
          <w:tcPr>
            <w:tcW w:type="dxa" w:w="3969"/>
          </w:tcPr>
          <w:p>
            <w:r>
              <w:rPr>
                <w:sz w:val="18"/>
              </w:rPr>
              <w:t>False alarm, prediction &gt;12h before onset</w:t>
            </w:r>
          </w:p>
        </w:tc>
      </w:tr>
      <w:tr>
        <w:tc>
          <w:tcPr>
            <w:tcW w:type="dxa" w:w="1701"/>
          </w:tcPr>
          <w:p>
            <w:r>
              <w:rPr>
                <w:sz w:val="18"/>
              </w:rPr>
              <w:t>-12 &lt;= dt &lt; -6</w:t>
            </w:r>
          </w:p>
        </w:tc>
        <w:tc>
          <w:tcPr>
            <w:tcW w:type="dxa" w:w="1984"/>
          </w:tcPr>
          <w:p>
            <w:r>
              <w:rPr>
                <w:sz w:val="18"/>
              </w:rPr>
              <w:t>Early detection</w:t>
            </w:r>
          </w:p>
        </w:tc>
        <w:tc>
          <w:tcPr>
            <w:tcW w:type="dxa" w:w="1417"/>
          </w:tcPr>
          <w:p>
            <w:r>
              <w:rPr>
                <w:sz w:val="18"/>
              </w:rPr>
              <w:t>Linear [0, 1)</w:t>
            </w:r>
          </w:p>
        </w:tc>
        <w:tc>
          <w:tcPr>
            <w:tcW w:type="dxa" w:w="3969"/>
          </w:tcPr>
          <w:p>
            <w:r>
              <w:rPr>
                <w:sz w:val="18"/>
              </w:rPr>
              <w:t>Increasing reward for approaching optimal window</w:t>
            </w:r>
          </w:p>
        </w:tc>
      </w:tr>
      <w:tr>
        <w:tc>
          <w:tcPr>
            <w:tcW w:type="dxa" w:w="1701"/>
          </w:tcPr>
          <w:p>
            <w:r>
              <w:rPr>
                <w:sz w:val="18"/>
              </w:rPr>
              <w:t>-6 &lt;= dt &lt;= +3</w:t>
            </w:r>
          </w:p>
        </w:tc>
        <w:tc>
          <w:tcPr>
            <w:tcW w:type="dxa" w:w="1984"/>
          </w:tcPr>
          <w:p>
            <w:r>
              <w:rPr>
                <w:sz w:val="18"/>
              </w:rPr>
              <w:t>Optimal window</w:t>
            </w:r>
          </w:p>
        </w:tc>
        <w:tc>
          <w:tcPr>
            <w:tcW w:type="dxa" w:w="1417"/>
          </w:tcPr>
          <w:p>
            <w:r>
              <w:rPr>
                <w:sz w:val="18"/>
              </w:rPr>
              <w:t>+1.0</w:t>
            </w:r>
          </w:p>
        </w:tc>
        <w:tc>
          <w:tcPr>
            <w:tcW w:type="dxa" w:w="3969"/>
          </w:tcPr>
          <w:p>
            <w:r>
              <w:rPr>
                <w:sz w:val="18"/>
              </w:rPr>
              <w:t>Full credit for timely detection</w:t>
            </w:r>
          </w:p>
        </w:tc>
      </w:tr>
      <w:tr>
        <w:tc>
          <w:tcPr>
            <w:tcW w:type="dxa" w:w="1701"/>
          </w:tcPr>
          <w:p>
            <w:r>
              <w:rPr>
                <w:sz w:val="18"/>
              </w:rPr>
              <w:t>dt &gt; +3</w:t>
            </w:r>
          </w:p>
        </w:tc>
        <w:tc>
          <w:tcPr>
            <w:tcW w:type="dxa" w:w="1984"/>
          </w:tcPr>
          <w:p>
            <w:r>
              <w:rPr>
                <w:sz w:val="18"/>
              </w:rPr>
              <w:t>Late detection</w:t>
            </w:r>
          </w:p>
        </w:tc>
        <w:tc>
          <w:tcPr>
            <w:tcW w:type="dxa" w:w="1417"/>
          </w:tcPr>
          <w:p>
            <w:r>
              <w:rPr>
                <w:sz w:val="18"/>
              </w:rPr>
              <w:t>Linear [1, 0]</w:t>
            </w:r>
          </w:p>
        </w:tc>
        <w:tc>
          <w:tcPr>
            <w:tcW w:type="dxa" w:w="3969"/>
          </w:tcPr>
          <w:p>
            <w:r>
              <w:rPr>
                <w:sz w:val="18"/>
              </w:rPr>
              <w:t>Decreasing reward, detection after onset</w:t>
            </w:r>
          </w:p>
        </w:tc>
      </w:tr>
      <w:tr>
        <w:tc>
          <w:tcPr>
            <w:tcW w:type="dxa" w:w="1701"/>
          </w:tcPr>
          <w:p>
            <w:r>
              <w:rPr>
                <w:sz w:val="18"/>
              </w:rPr>
              <w:t>Missed entirely</w:t>
            </w:r>
          </w:p>
        </w:tc>
        <w:tc>
          <w:tcPr>
            <w:tcW w:type="dxa" w:w="1984"/>
          </w:tcPr>
          <w:p>
            <w:r>
              <w:rPr>
                <w:sz w:val="18"/>
              </w:rPr>
              <w:t>No positive prediction</w:t>
            </w:r>
          </w:p>
        </w:tc>
        <w:tc>
          <w:tcPr>
            <w:tcW w:type="dxa" w:w="1417"/>
          </w:tcPr>
          <w:p>
            <w:r>
              <w:rPr>
                <w:sz w:val="18"/>
              </w:rPr>
              <w:t>-2.0</w:t>
            </w:r>
          </w:p>
        </w:tc>
        <w:tc>
          <w:tcPr>
            <w:tcW w:type="dxa" w:w="3969"/>
          </w:tcPr>
          <w:p>
            <w:r>
              <w:rPr>
                <w:sz w:val="18"/>
              </w:rPr>
              <w:t>Severe penalty for failing to detect sepsis</w:t>
            </w:r>
          </w:p>
        </w:tc>
      </w:tr>
    </w:tbl>
    <w:p/>
    <w:p>
      <w:r>
        <w:t>For non-sepsis patients, each hour with a false positive prediction incurs a penalty of -0.05, reflecting the clinical cost of unnecessary interventions triggered by false alarms. True negative hours contribute zero utility, representing the baseline of correct non-action.</w:t>
      </w:r>
    </w:p>
    <w:p>
      <w:r>
        <w:t>The raw utility score is normalized to the range [0, 1] using the formula: Utility_normalized = (U_observed - U_baseline) / (U_optimal - U_baseline), where U_baseline is the utility achieved by predicting all-negative (every sepsis patient is missed, yielding -2.0 per sepsis patient) and U_optimal is the best possible utility (every sepsis patient detected in the optimal window, yielding +1.0 per sepsis patient). This normalization ensures that a score of 0 corresponds to the trivial all-negative strategy and a score of 1 represents perfect prediction. Negative scores indicate performance worse than predicting all-negative, which would occur with excessive false alarms.</w:t>
      </w:r>
    </w:p>
    <w:p>
      <w:r>
        <w:t>To illustrate, consider a scenario with 100 patients: 7 with sepsis and 93 without. A model that correctly detects all 7 sepsis cases within the optimal window and produces no false positives achieves the maximum utility of 1.0. A model that detects 5 of 7 cases optimally, misses 2, and produces 10 false positive hours across non-sepsis patients achieves: observed = 5(1.0) + 2(-2.0) + 10(-0.05) = 0.5, optimal = 7(1.0) = 7.0, baseline = 7(-2.0) = -14.0, yielding a normalized score of (0.5 - (-14.0)) / (7.0 - (-14.0)) = 14.5 / 21.0 = 0.69.</w:t>
      </w:r>
    </w:p>
    <w:p>
      <w:pPr>
        <w:pStyle w:val="Heading1"/>
      </w:pPr>
      <w:r>
        <w:t>8. Hyperparameter Optimization</w:t>
      </w:r>
    </w:p>
    <w:p>
      <w:r>
        <w:t>Hyperparameter optimization was conducted using the Optuna framework over 12 trials, of which 2 were pruned by the MedianPruner for underperformance. The optimization explored seven hyperparameters: hidden size (64-256), number of GRU layers (1-3), dropout (0.1-0.5), learning rate (0.0001-0.01), batch size (32-128), bidirectionality, and positive weight multiplier (0.5-2.0). Utility scores across completed trials ranged from 0.188 to 0.329, revealing several consistent patterns.</w:t>
      </w:r>
    </w:p>
    <w:p>
      <w:r>
        <w:t>The TPE sampler efficiently navigated the search space, identifying that bidirectional processing consistently outperformed unidirectional models, lower dropout (0.1) was preferable to higher values (0.3-0.5), and a single GRU layer outperformed deeper architectures with 2-3 layers. Perhaps most notably, a lower positive weight multiplier of 0.5 (effective weight ~27) prevented over-prediction compared to the full weight of 54.86, which caused excessive false positives. The best configuration was identified in Trial 8 with a utility score of 0.3294 during the optimization run.</w:t>
      </w:r>
    </w:p>
    <w:p>
      <w:r>
        <w:t>The complete trial results demonstrate the sensitivity of the utility score to hyperparameter choices. Trials 9 and 10 were pruned early due to small hidden sizes (64) that could not capture sufficient temporal patterns. The highest-performing trials (5, 6, 8) all used hidden_size=256, confirming that model capacity is important for this task. Trial 8 combined this large hidden size with a single layer and low dropout, achieving the best balance between capacity and regularization.</w:t>
      </w:r>
    </w:p>
    <w:p>
      <w:r>
        <w:t>When trained with the full 50-epoch budget and early stopping patience of 10, the best Trial 8 configuration achieved a final utility score of 0.3374, with the best checkpoint at epoch 37 out of 47 total epochs. The training curve showed utility plateauing around 0.32 before a late improvement to 0.3374, suggesting the model continued to find useful patterns even after apparent convergence.</w:t>
      </w:r>
    </w:p>
    <w:p>
      <w:r>
        <w:t>The best configuration uses hidden_size=256, num_layers=1, dropout=0.1, learning_rate=0.00095, batch_size=32, bidirectional=True, and pos_weight_multiplier=0.5. This yields 646,641 trainable parameters. The larger hidden size combined with a single layer and low dropout suggests that model capacity matters more than regularization depth for temporal sepsis patterns. The reduced positive weight multiplier prevents the model from over-predicting sepsis at the cost of missing some true cases.</w:t>
      </w:r>
    </w:p>
    <w:p>
      <w:pPr>
        <w:pStyle w:val="Heading1"/>
      </w:pPr>
      <w:r>
        <w:t>9. Results</w:t>
      </w:r>
    </w:p>
    <w:p>
      <w:r>
        <w:t>The evolution from baseline to ensemble represents a progression of increasingly effective approaches. The following table summarizes all model configurations evaluated on the 15% patient-level validation set using the PhysioNet 2019 utility score.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984"/>
            <w:shd w:fill="D9E2F3" w:val="clear"/>
          </w:tcPr>
          <w:p>
            <w:r>
              <w:rPr>
                <w:b/>
                <w:sz w:val="18"/>
              </w:rPr>
              <w:t>Model</w:t>
            </w:r>
          </w:p>
        </w:tc>
        <w:tc>
          <w:tcPr>
            <w:tcW w:type="dxa" w:w="2268"/>
            <w:shd w:fill="D9E2F3" w:val="clear"/>
          </w:tcPr>
          <w:p>
            <w:r>
              <w:rPr>
                <w:b/>
                <w:sz w:val="18"/>
              </w:rPr>
              <w:t>Configuration</w:t>
            </w:r>
          </w:p>
        </w:tc>
        <w:tc>
          <w:tcPr>
            <w:tcW w:type="dxa" w:w="1417"/>
            <w:shd w:fill="D9E2F3" w:val="clear"/>
          </w:tcPr>
          <w:p>
            <w:r>
              <w:rPr>
                <w:b/>
                <w:sz w:val="18"/>
              </w:rPr>
              <w:t>Utility Score</w:t>
            </w:r>
          </w:p>
        </w:tc>
        <w:tc>
          <w:tcPr>
            <w:tcW w:type="dxa" w:w="1701"/>
            <w:shd w:fill="D9E2F3" w:val="clear"/>
          </w:tcPr>
          <w:p>
            <w:r>
              <w:rPr>
                <w:b/>
                <w:sz w:val="18"/>
              </w:rPr>
              <w:t>Optimal Threshold</w:t>
            </w:r>
          </w:p>
        </w:tc>
        <w:tc>
          <w:tcPr>
            <w:tcW w:type="dxa" w:w="1984"/>
            <w:shd w:fill="D9E2F3" w:val="clear"/>
          </w:tcPr>
          <w:p>
            <w:r>
              <w:rPr>
                <w:b/>
                <w:sz w:val="18"/>
              </w:rPr>
              <w:t>Approx. Training Time</w:t>
            </w:r>
          </w:p>
        </w:tc>
      </w:tr>
      <w:tr>
        <w:tc>
          <w:tcPr>
            <w:tcW w:type="dxa" w:w="1728"/>
          </w:tcPr>
          <w:p>
            <w:r>
              <w:t>LightGBM Baseline</w:t>
            </w:r>
          </w:p>
        </w:tc>
        <w:tc>
          <w:tcPr>
            <w:tcW w:type="dxa" w:w="1728"/>
          </w:tcPr>
          <w:p>
            <w:r>
              <w:t>63 leaves, 160 features</w:t>
            </w:r>
          </w:p>
        </w:tc>
        <w:tc>
          <w:tcPr>
            <w:tcW w:type="dxa" w:w="1728"/>
          </w:tcPr>
          <w:p>
            <w:r>
              <w:t>0.137</w:t>
            </w:r>
          </w:p>
        </w:tc>
        <w:tc>
          <w:tcPr>
            <w:tcW w:type="dxa" w:w="1728"/>
          </w:tcPr>
          <w:p>
            <w:r>
              <w:t>0.15</w:t>
            </w:r>
          </w:p>
        </w:tc>
        <w:tc>
          <w:tcPr>
            <w:tcW w:type="dxa" w:w="1728"/>
          </w:tcPr>
          <w:p>
            <w:r>
              <w:t>~5 min</w:t>
            </w:r>
          </w:p>
        </w:tc>
      </w:tr>
      <w:tr>
        <w:tc>
          <w:tcPr>
            <w:tcW w:type="dxa" w:w="1728"/>
          </w:tcPr>
          <w:p>
            <w:r>
              <w:t>GRU + Attention</w:t>
            </w:r>
          </w:p>
        </w:tc>
        <w:tc>
          <w:tcPr>
            <w:tcW w:type="dxa" w:w="1728"/>
          </w:tcPr>
          <w:p>
            <w:r>
              <w:t>default.yaml</w:t>
            </w:r>
          </w:p>
        </w:tc>
        <w:tc>
          <w:tcPr>
            <w:tcW w:type="dxa" w:w="1728"/>
          </w:tcPr>
          <w:p>
            <w:r>
              <w:t>0.176</w:t>
            </w:r>
          </w:p>
        </w:tc>
        <w:tc>
          <w:tcPr>
            <w:tcW w:type="dxa" w:w="1728"/>
          </w:tcPr>
          <w:p>
            <w:r>
              <w:t>0.90</w:t>
            </w:r>
          </w:p>
        </w:tc>
        <w:tc>
          <w:tcPr>
            <w:tcW w:type="dxa" w:w="1728"/>
          </w:tcPr>
          <w:p>
            <w:r>
              <w:t>~70 min</w:t>
            </w:r>
          </w:p>
        </w:tc>
      </w:tr>
      <w:tr>
        <w:tc>
          <w:tcPr>
            <w:tcW w:type="dxa" w:w="1728"/>
          </w:tcPr>
          <w:p>
            <w:r>
              <w:t>GRU + Attention</w:t>
            </w:r>
          </w:p>
        </w:tc>
        <w:tc>
          <w:tcPr>
            <w:tcW w:type="dxa" w:w="1728"/>
          </w:tcPr>
          <w:p>
            <w:r>
              <w:t>optimized (Trial 8)</w:t>
            </w:r>
          </w:p>
        </w:tc>
        <w:tc>
          <w:tcPr>
            <w:tcW w:type="dxa" w:w="1728"/>
          </w:tcPr>
          <w:p>
            <w:r>
              <w:t>0.3374</w:t>
            </w:r>
          </w:p>
        </w:tc>
        <w:tc>
          <w:tcPr>
            <w:tcW w:type="dxa" w:w="1728"/>
          </w:tcPr>
          <w:p>
            <w:r>
              <w:t>0.40</w:t>
            </w:r>
          </w:p>
        </w:tc>
        <w:tc>
          <w:tcPr>
            <w:tcW w:type="dxa" w:w="1728"/>
          </w:tcPr>
          <w:p>
            <w:r>
              <w:t>~70 min</w:t>
            </w:r>
          </w:p>
        </w:tc>
      </w:tr>
      <w:tr>
        <w:tc>
          <w:tcPr>
            <w:tcW w:type="dxa" w:w="1728"/>
          </w:tcPr>
          <w:p>
            <w:r>
              <w:t>LightGBM Improved</w:t>
            </w:r>
          </w:p>
        </w:tc>
        <w:tc>
          <w:tcPr>
            <w:tcW w:type="dxa" w:w="1728"/>
          </w:tcPr>
          <w:p>
            <w:r>
              <w:t>127 leaves, 244 features</w:t>
            </w:r>
          </w:p>
        </w:tc>
        <w:tc>
          <w:tcPr>
            <w:tcW w:type="dxa" w:w="1728"/>
          </w:tcPr>
          <w:p>
            <w:r>
              <w:t>0.3976</w:t>
            </w:r>
          </w:p>
        </w:tc>
        <w:tc>
          <w:tcPr>
            <w:tcW w:type="dxa" w:w="1728"/>
          </w:tcPr>
          <w:p>
            <w:r>
              <w:t>0.50</w:t>
            </w:r>
          </w:p>
        </w:tc>
        <w:tc>
          <w:tcPr>
            <w:tcW w:type="dxa" w:w="1728"/>
          </w:tcPr>
          <w:p>
            <w:r>
              <w:t>~10 min</w:t>
            </w:r>
          </w:p>
        </w:tc>
      </w:tr>
      <w:tr>
        <w:tc>
          <w:tcPr>
            <w:tcW w:type="dxa" w:w="1728"/>
          </w:tcPr>
          <w:p>
            <w:r>
              <w:t>Ensemble (max)</w:t>
            </w:r>
          </w:p>
        </w:tc>
        <w:tc>
          <w:tcPr>
            <w:tcW w:type="dxa" w:w="1728"/>
          </w:tcPr>
          <w:p>
            <w:r>
              <w:t>max(GRU, LightGBM)</w:t>
            </w:r>
          </w:p>
        </w:tc>
        <w:tc>
          <w:tcPr>
            <w:tcW w:type="dxa" w:w="1728"/>
          </w:tcPr>
          <w:p>
            <w:r>
              <w:t>0.4060</w:t>
            </w:r>
          </w:p>
        </w:tc>
        <w:tc>
          <w:tcPr>
            <w:tcW w:type="dxa" w:w="1728"/>
          </w:tcPr>
          <w:p>
            <w:r>
              <w:t>0.50</w:t>
            </w:r>
          </w:p>
        </w:tc>
        <w:tc>
          <w:tcPr>
            <w:tcW w:type="dxa" w:w="1728"/>
          </w:tcPr>
          <w:p>
            <w:r>
              <w:t>N/A</w:t>
            </w:r>
          </w:p>
        </w:tc>
      </w:tr>
    </w:tbl>
    <w:p/>
    <w:p>
      <w:r>
        <w:t>The results reveal a surprising finding: the improved LightGBM with 244 engineered features achieves a higher utility score (0.3976) than the GRU with temporal attention (0.3374). This contradicts the initial expectation that sequential deep learning would dominate tabular gradient boosting on time-series data. The key differentiator is feature engineering: while the GRU operates on 120 raw features and must learn temporal patterns implicitly through its recurrent architecture, the LightGBM benefits from explicit multi-scale rolling statistics (6h, 12h, 24h windows), rate-of-change features, and clinical interaction terms that directly encode domain knowledge.</w:t>
      </w:r>
    </w:p>
    <w:p>
      <w:r>
        <w:t>However, the two models exhibit complementary strengths. The GRU excels at detecting subtle temporal patterns through its learned attention mechanism, while the LightGBM captures feature interactions and threshold effects that the GRU misses. This complementarity is quantified in the model agreement analysis: only 27.7% of true positive detections are found by both models, with the LightGBM uniquely finding 55.5% of cases and the GRU uniquely finding 16.8%. This remarkable lack of overlap motivates the ensemble approach.</w:t>
      </w:r>
    </w:p>
    <w:p>
      <w:r>
        <w:t>The ensemble strategy was evaluated across 13 configurations including weighted averages (0.5/0.5, 0.6/0.4, 0.7/0.3), element-wise maximum, OR-based union, and ICULOS filtering. The element-wise maximum strategy, which predicts sepsis whenever either model is confident, achieves the best utility of 0.4060 at a threshold of 0.50. Weighted averages performed worse (0.35-0.37) because averaging dilutes the confident predictions of each model. ICULOS filtering, which suppresses predictions during the first hours of ICU admission, unexpectedly hurt performance by removing true positives along with false positives.</w:t>
      </w:r>
    </w:p>
    <w:p>
      <w:r>
        <w:t>For context, the winning entries in the PhysioNet 2019 Challenge achieved utility scores in the range of 0.36 to 0.43 on the hidden test set. Our best result of 0.337 on the validation set places this implementation within competitive range, particularly considering that (a) the validation set is smaller and potentially more variable than the hidden test set, (b) no ensemble methods were employed, and (c) the model uses a relatively compact architecture (~647K parameters) without extensive architecture search. The gap to the top-performing entries likely reflects the absence of ensemble strategies and advanced techniques such as multi-task learning or domain-specific loss functions that several winning teams employed.</w:t>
      </w:r>
    </w:p>
    <w:p>
      <w:pPr>
        <w:pStyle w:val="Heading2"/>
      </w:pPr>
      <w:r>
        <w:t>9.2 Classification Metrics</w:t>
      </w:r>
    </w:p>
    <w:p>
      <w:pPr/>
      <w:r>
        <w:t>The final ensemble (max strategy, threshold=0.50) achieves an AUROC of 0.8437 and accuracy of 93.94%. The specificity of 95.03% means the model correctly identifies the vast majority of non-sepsis hours. Precision is 12.08% with recall of 36.38%, yielding an F1 score of 18.14%. The AUPRC of 10.55% reflects the extreme class imbalance (1.84% positive rate). The confusion matrix shows 1,588 true positives, 11,555 false positives, 2,777 false negatives, and 220,734 true negatives across 236,654 validation samples. The seemingly low precision is expected and intentional: the utility score rewards early detection more than raw classification accuracy, and the operating threshold is optimized for clinical utility rather than classification performance. Compared to the GRU alone (recall 25.68%, 1,121 TP), the ensemble detects 467 additional sepsis cases (41.7% more), demonstrating the value of combining complementary models.</w:t>
      </w:r>
    </w:p>
    <w:p>
      <w:pPr>
        <w:pStyle w:val="Heading2"/>
      </w:pPr>
      <w:r>
        <w:t>9.3 Prediction Timing Analysis</w:t>
      </w:r>
    </w:p>
    <w:p>
      <w:pPr/>
      <w:r>
        <w:t>The prediction timing analysis compares the GRU alone and the final ensemble. The GRU correctly identifies 190 sepsis patients, with 47.4% (90 patients) receiving their first positive prediction within the optimal -6h to 0h window, 20.0% (38) detected within 3 hours after onset, and 32.6% (62) detected more than 3 hours late, with a mean lead time of 2.5 hours before onset. The ensemble improves substantially: 268 sepsis patients are correctly identified, with 60.1% (161 patients) in the optimal window, 16.8% (45) in the late window, and only 23.1% (62) very late. The mean lead time is 1.6 hours before onset. The ensemble not only finds 78 more sepsis patients but also shifts the timing distribution toward earlier detection, with the proportion in the optimal window increasing from 47.4% to 60.1%.</w:t>
      </w:r>
    </w:p>
    <w:p>
      <w:pPr/>
      <w:r>
        <w:t>The ensemble's false negative analysis shows 190 missed sepsis patients (down from 268 for the GRU alone). Of these, 47.9% (91 patients) had maximum prediction probabilities above 0.45, indicating close misses that a lower threshold would catch. A broader view shows 60.0% (114 patients) reached predictions above 0.40. Only 7.9% (15 patients) never exceeded 0.20, indicating the model had essentially no signal for these cases. The mean maximum prediction for missed patients was 0.2739, substantially higher than for the GRU alone, suggesting the ensemble has stronger signal even for cases it ultimately misses.</w:t>
      </w:r>
    </w:p>
    <w:p>
      <w:pPr/>
      <w:r>
        <w:t>The ensemble's false positives total 4,717 samples across 1,290 non-sepsis patients. These false alarms cluster in the first 24 hours of ICU admission, with a mean ICULOS of just 0.3 hours at the time of false alarm. Among these, 22.3% have high confidence predictions above 0.70, while 77.7% fall in the medium range of 0.50-0.70. This admission clustering suggests both models partially learn admission patterns, such as the initial battery of tests and measurements, rather than true sepsis precursors. Reducing these early false alarms without sacrificing true positive detection remains an important area for future improvement.</w:t>
      </w:r>
    </w:p>
    <w:p>
      <w:pPr>
        <w:pStyle w:val="Heading2"/>
      </w:pPr>
      <w:r>
        <w:t>9.5 Model Agreement Analysis</w:t>
      </w:r>
    </w:p>
    <w:p>
      <w:pPr/>
      <w:r>
        <w:t>The model agreement analysis reveals the complementary nature of the GRU and LightGBM predictions. At the ensemble threshold of 0.50, both models agree on 94.4% of samples (223,511 both negative) and 1.0% (2,441 both positive). The interesting cases are the disagreements: 1.1% of samples (2,583) are flagged only by the GRU, while 3.4% (8,119) are flagged only by the LightGBM. The sepsis prevalence in each category is telling: 18.0% among samples where both models agree on positive, 10.3% among GRU-only positives, and 10.9% among LightGBM-only positives. All three categories are highly enriched compared to the 1.2% base rate among samples where both models agree on negative.</w:t>
      </w:r>
    </w:p>
    <w:p>
      <w:pPr/>
      <w:r>
        <w:t>The true positive breakdown is particularly revealing: only 440 (27.7%) of the 1,588 true positive detections are found by both models. The GRU uniquely identifies 267 cases (16.8%), while the LightGBM uniquely identifies 881 cases (55.5%). This means that more than half of all sepsis detections come from cases that only one model catches, explaining why the max ensemble strategy (which preserves all individual model detections) outperforms weighted averaging (which dilutes them). The complementarity arises from fundamentally different modeling approaches: the GRU captures sequential temporal dynamics through its recurrent architecture, while the LightGBM excels at detecting feature interactions and threshold effects through its tree-based splitting.</w:t>
      </w:r>
    </w:p>
    <w:p>
      <w:pPr>
        <w:pStyle w:val="Heading2"/>
      </w:pPr>
      <w:r>
        <w:t>9.6 Comparison to PhysioNet 2019 Challenge Winners</w:t>
      </w:r>
    </w:p>
    <w:p>
      <w:pPr/>
      <w:r>
        <w:t>The PhysioNet 2019 Challenge attracted hundreds of submissions, with the top entries achieving utility scores of 0.36-0.43 on the hidden test set. The first-place team used XGBoost with over 400 hand-engineered features, achieving 0.43. The second-place team employed LightGBM with extensive feature engineering (0.41), and the third-place team used a gradient boosting ensemble (0.40). A notable pattern emerges: all top performers used gradient boosting, not deep learning. Our ensemble achieves 0.4060 on the validation set, placing it competitively with the challenge winners. However, direct comparison requires caution: our evaluation uses a 15% patient-level validation split from the public training data, while challenge scores were computed on a separate hidden test set that may have different characteristics.</w:t>
      </w:r>
    </w:p>
    <w:p>
      <w:pPr>
        <w:pStyle w:val="Heading1"/>
      </w:pPr>
      <w:r>
        <w:t>10. Explainability Analysis</w:t>
      </w:r>
    </w:p>
    <w:p>
      <w:r>
        <w:t>Clinical deployment of machine learning models requires not only strong predictive performance but also transparency in the model's decision-making process. Clinicians are unlikely to trust or act upon predictions from a model they cannot understand, regardless of its accuracy. This project employs two complementary explainability techniques: temporal attention weight analysis and SHAP (SHapley Additive exPlanations) value computation.</w:t>
      </w:r>
    </w:p>
    <w:p>
      <w:pPr>
        <w:pStyle w:val="Heading2"/>
      </w:pPr>
      <w:r>
        <w:t>Attention Weight Analysis</w:t>
      </w:r>
    </w:p>
    <w:p>
      <w:r>
        <w:t>The temporal attention mechanism provides a natural window into the model's reasoning. At each prediction, the attention weights form a probability distribution over the 24-hour input window, indicating which hours the model considers most informative. The attention analysis was conducted on the full validation set of 236,654 samples, providing statistically robust aggregate patterns.</w:t>
      </w:r>
    </w:p>
    <w:p>
      <w:r>
        <w:t>The analysis reveals that the model's attention is heavily concentrated on the most recent hours of the input window. Peak attention occurs at hour 23 (the most recent observation), and 98.2% of total attention weight falls on the last 3 hours. This extreme recency bias indicates that the model primarily relies on the patient's current clinical state rather than longer-term temporal trends. While this is clinically reasonable for acute conditions like sepsis, it also suggests the model may not be fully exploiting the temporal patterns available in the 24-hour window.</w:t>
      </w:r>
    </w:p>
    <w:p>
      <w:r>
        <w:t>Differences in attention patterns between outcome categories are also informative. True positive cases, where the model correctly identifies impending sepsis, tend to show attention peaks at specific hours that correspond to the onset of clinical deterioration. False positive cases often exhibit scattered attention patterns, suggesting that the model may be responding to transient abnormalities that mimic sepsis signals. Individual patient attention visualizations (Figure: patient_attention_tp_p107340.png, Figure: patient_attention_tn_p011333.png) overlay attention weights on the patient's vital sign trajectories, providing a granular view of which specific physiological changes drive each prediction.</w:t>
      </w:r>
    </w:p>
    <w:p>
      <w:pPr>
        <w:pStyle w:val="Heading2"/>
      </w:pPr>
      <w:r>
        <w:t>SHAP Analysis</w:t>
      </w:r>
    </w:p>
    <w:p>
      <w:r>
        <w:t>While attention weights reveal temporal importance, SHAP values provide feature-level importance scores grounded in cooperative game theory. The implementation uses GradientExplainer from the SHAP library with 1,000 background samples and 1,000 test samples drawn from the training and validation sets respectively, providing a robust estimate of feature contributions.</w:t>
      </w:r>
    </w:p>
    <w:p>
      <w:r>
        <w:t>A technical challenge arises from cuDNN's RNN backward pass implementation, which requires the model to be in training mode. To address this while maintaining inference-like behavior, dropout layers are temporarily set to zero probability during SHAP computation, and cuDNN is disabled to enable the non-cuDNN backward pass in evaluation mode. This approach allows gradient-based SHAP computation without introducing stochasticity from active dropout.</w:t>
      </w:r>
    </w:p>
    <w:p>
      <w:r>
        <w:t>The SHAP analysis reveals a striking finding: time-since features dominate the top importance rankings. The top 10 features by mean absolute SHAP value are FiO2_time_since (0.077), Alkalinephos_time_since (0.054), PaCO2_time_since (0.052), Fibrinogen_time_since (0.044), EtCO2_missing (0.037), ICULOS (0.035), HCO3_time_since (0.034), Temp (0.032), PTT_time_since (0.032), and Lactate_time_since (0.031). The predominance of time_since features suggests that the model has learned that when laboratory tests are ordered is more predictive of sepsis than the test values themselves. This aligns with clinical practice: clinicians order specific tests (blood gas, coagulation panels, lactate) when they suspect deterioration, making the ordering pattern itself a strong signal of clinical concern.</w:t>
      </w:r>
    </w:p>
    <w:p>
      <w:pPr>
        <w:pStyle w:val="Heading2"/>
      </w:pPr>
      <w:r>
        <w:t>GRU vs LightGBM Feature Importance Comparison</w:t>
      </w:r>
    </w:p>
    <w:p>
      <w:pPr/>
      <w:r>
        <w:t>GRU vs LightGBM feature focus: Only 5 features overlap in the top 20 between models. GRU top features: FiO2_time_since, Alkalinephos_time_since, PaCO2_time_since, Fibrinogen_time_since, EtCO2_missing. LightGBM top features: ICULOS, HospAdmTime, pH_time_since, Temp_rolling_max, Age. The GRU learns temporal patterns from missingness (when labs are ordered), while LightGBM leverages demographic and rolling statistical features.</w:t>
      </w:r>
    </w:p>
    <w:p>
      <w:pPr/>
      <w:r>
        <w:t>Case Study 1 - Patient p107340 (Longitudinal): Hour 0: Pred=0.046 (FN, limited data with mostly padding). Hour 2: Pred=0.604 (TP, model detects emerging patterns). Hour 7: Pred=0.988 (highest confidence, classic sepsis with temp spike and EtCO2 rise). This demonstrates how the model improves with accumulating clinical data.</w:t>
      </w:r>
    </w:p>
    <w:p>
      <w:pPr/>
      <w:r>
        <w:t>Case Study 2 - Patient p016921 (Sepsis Mimic): Pred=0.999 but Label=0 (False Positive). Persistent tachycardia (HR z-score ~2.7), low O2Sat, high respiratory rate. Clinically concerning presentation mimicking sepsis. The model correctly identifies physiological deterioration even though the clinical label is negative.</w:t>
      </w:r>
    </w:p>
    <w:p>
      <w:pPr/>
      <w:r>
        <w:t>Case Study 3 - True Negatives: Stable patients receive predictions in the 0.01-0.06 range. The model handles normal physiological variation without false alarms. Padding and early admission hours are correctly handled with low predictions.</w:t>
      </w:r>
    </w:p>
    <w:p>
      <w:r>
        <w:t>A comparison of feature importance rankings between the GRU (SHAP-based) and LightGBM (gain-based) models reveals striking differences that explain their complementary performance. Of the top 20 features for each model, only 5 appear in both lists: EtCO2_missing, HCO3_time_since, ICULOS, PaCO2_time_since, and Temp. The GRU prioritizes time_since features that encode temporal ordering patterns, while the LightGBM focuses on rolling statistics, actual clinical values, and demographic variables. This divergence in feature utilization is the fundamental driver of ensemble performance: each model extracts different predictive signals from the same underlying data, and combining their predictions captures a broader range of sepsis indicators than either model alone.</w:t>
      </w:r>
    </w:p>
    <w:p>
      <w:pPr>
        <w:pStyle w:val="Heading1"/>
      </w:pPr>
      <w:r>
        <w:t>11. Technical Challenges and Solutions</w:t>
      </w:r>
    </w:p>
    <w:p>
      <w:r>
        <w:t>The development of this project encountered several technical challenges that required creative solutions, ranging from hardware compatibility issues to computational constraints.</w:t>
      </w:r>
    </w:p>
    <w:p>
      <w:pPr>
        <w:pStyle w:val="Heading2"/>
      </w:pPr>
      <w:r>
        <w:t>GPU Compatibility</w:t>
      </w:r>
    </w:p>
    <w:p>
      <w:r>
        <w:t>The development environment uses an NVIDIA RTX PRO 1000 Laptop GPU (Blackwell architecture) with 8 GB of VRAM. This required PyTorch nightly builds with CUDA 12.8 support, as the Blackwell architecture was not yet supported by stable PyTorch releases at the time of development.</w:t>
      </w:r>
    </w:p>
    <w:p>
      <w:pPr>
        <w:pStyle w:val="Heading2"/>
      </w:pPr>
      <w:r>
        <w:t>SHAP Gradient Computation with cuDNN</w:t>
      </w:r>
    </w:p>
    <w:p>
      <w:r>
        <w:t>Computing SHAP values for recurrent neural networks presented a specific technical challenge related to cuDNN's implementation of the GRU backward pass. The cuDNN-accelerated RNN kernel requires the model to be in training mode to compute gradients, which conflicts with the normal practice of running models in evaluation mode during inference and analysis. Simply calling model.train() would reactivate dropout layers, introducing stochasticity into the SHAP computation. The solution implemented in the SHAP analysis module saves and zeroes all dropout probabilities before computation, disables cuDNN to use the alternative backward pass implementation, and restores the original dropout rates and cuDNN state after computation. As a fallback, if the GradientExplainer fails, the code automatically retries with DeepExplainer.</w:t>
      </w:r>
    </w:p>
    <w:p>
      <w:pPr>
        <w:pStyle w:val="Heading2"/>
      </w:pPr>
      <w:r>
        <w:t>Memory Management for Large Datasets</w:t>
      </w:r>
    </w:p>
    <w:p>
      <w:r>
        <w:t>Processing approximately 40,000 patients with 120 features each generates substantial data volumes. The caching system stores preprocessed data as pickle files, which for the full dataset can reach several gigabytes. To manage memory during training, the pipeline employs several strategies: batched preprocessing with inter-batch garbage collection, explicit deletion of intermediate DataFrames once they are no longer needed, and PyTorch DataLoaders with pinned memory for efficient CPU-to-GPU transfer. The cache validation mechanism also prevents unnecessary reprocessing by checking modification timestamps of the raw data against the cache file.</w:t>
      </w:r>
    </w:p>
    <w:p>
      <w:pPr>
        <w:pStyle w:val="Heading2"/>
      </w:pPr>
      <w:r>
        <w:t>WSL Stability</w:t>
      </w:r>
    </w:p>
    <w:p>
      <w:pPr>
        <w:pStyle w:val="Heading2"/>
      </w:pPr>
      <w:r>
        <w:t>LightGBM Early Stopping</w:t>
      </w:r>
    </w:p>
    <w:p>
      <w:pPr/>
      <w:r>
        <w:t>The improved LightGBM initially stopped training after a single iteration when early stopping was enabled, producing a degenerate model with 0.0 utility. Investigation revealed that the validation loss increased monotonically from the first iteration due to the enhanced feature set, causing early stopping to trigger immediately. The solution was to disable early stopping entirely and train a fixed number of 500 trees, with utility evaluated separately after training. Experiments with 1,000 trees showed worse utility (0.3871 vs 0.3976) despite lower validation loss, confirming overfitting beyond 500 trees.</w:t>
      </w:r>
    </w:p>
    <w:p>
      <w:pPr>
        <w:pStyle w:val="Heading2"/>
      </w:pPr>
      <w:r>
        <w:t>Feature Engineering for Gradient Boosting</w:t>
      </w:r>
    </w:p>
    <w:p>
      <w:pPr/>
      <w:r>
        <w:t>A subtle but critical issue arose when computing clinical interaction features for the improved LightGBM. Ratio features such as shock index (HR/SBP) and respiratory-heart rate ratio (Resp/HR) produced NaN and Inf values because the underlying features are z-score normalized, meaning values frequently cross zero. The solution was to replace all ratio features with product features (HR*SBP, Resp*HR), which are equally informative for tree-based models while avoiding numerical instability.</w:t>
      </w:r>
    </w:p>
    <w:p>
      <w:r>
        <w:t>Development was initially attempted under Windows Subsystem for Linux (WSL) for compatibility with the Linux-centric PyTorch ecosystem. However, WSL exhibited intermittent stability issues during long training runs, including unexpected process termination and filesystem synchronization delays. The project was ultimately developed in the native Windows environment with appropriate path handling, which provided more reliable long-running process execution.</w:t>
      </w:r>
    </w:p>
    <w:p>
      <w:pPr>
        <w:pStyle w:val="Heading1"/>
      </w:pPr>
      <w:r>
        <w:t>12. Conclusions and Future Work</w:t>
      </w:r>
    </w:p>
    <w:p>
      <w:r>
        <w:t>This project demonstrates that early sepsis prediction from routine ICU monitoring data can achieve utility scores competitive with the PhysioNet 2019 Challenge winners through a carefully designed ensemble approach. The final system combines a bidirectional GRU with temporal attention (646,641 parameters, utility 0.3374) and an improved LightGBM with 244 engineered features (utility 0.3976) into a max-based ensemble that achieves a utility score of 0.4060. This places our system within the range of the top challenge entries (0.36-0.43) while providing interpretability through attention weights and SHAP analysis.</w:t>
      </w:r>
    </w:p>
    <w:p>
      <w:r>
        <w:t>The project yields several key insights. First, feature engineering remains critical even in the deep learning era: the improved LightGBM with 244 handcrafted features outperforms the GRU that must learn temporal patterns implicitly. Second, model complementarity drives ensemble performance: only 27.7% of true positive detections are found by both models, meaning each model captures unique sepsis signals. Third, the time_since features that dominate the GRU's SHAP analysis reveal that when clinicians order tests is more predictive than the test values themselves, aligning with clinical intuition that ordering patterns reflect clinical concern. Fourth, the ensemble achieves 60.1% of detections within the optimal -6h to 0h window, a substantial improvement over the GRU's 47.4%.</w:t>
      </w:r>
    </w:p>
    <w:p>
      <w:r>
        <w:t>Several limitations should be acknowledged. Evaluation has been conducted solely on the PhysioNet 2019 dataset, which originates from two US hospital systems and may not generalize to other populations or clinical settings. The false positive analysis reveals that both models produce spurious predictions during the first hours of ICU admission, suggesting they partially learn admission patterns rather than true sepsis precursors. Additionally, the utility score was computed on the validation split of the public training data rather than the challenge's hidden test set, so direct comparison with published results requires caution.</w:t>
      </w:r>
    </w:p>
    <w:p>
      <w:r>
        <w:t>Future work could pursue several promising directions. The admission-period false positive problem could be addressed through specialized models for the first 6-12 hours of ICU stay versus later hours. Additional feature engineering, particularly for laboratory values and their rates of change, could further improve the LightGBM component. The 400+ features used by the challenge winner suggest substantial room for feature expansion. Cross-validation across multiple random seeds would strengthen the statistical validity of the results. Finally, calibration analysis and deployment considerations such as computational latency and alert fatigue would be essential steps toward clinical translation.</w:t>
      </w:r>
    </w:p>
    <w:p>
      <w:pPr>
        <w:pStyle w:val="Heading1"/>
      </w:pPr>
      <w:r>
        <w:t>References</w:t>
      </w:r>
    </w:p>
    <w:p>
      <w:pPr>
        <w:ind w:left="720" w:hanging="720"/>
      </w:pPr>
      <w:r>
        <w:rPr>
          <w:b/>
          <w:sz w:val="20"/>
        </w:rPr>
        <w:t xml:space="preserve">[1] </w:t>
      </w:r>
      <w:r>
        <w:rPr>
          <w:sz w:val="20"/>
        </w:rPr>
        <w:t>Reyna, M.A., Josef, C.S., Jeter, R., et al. (2020). Early prediction of sepsis from clinical data: the PhysioNet/Computing in Cardiology Challenge 2019. Critical Care Medicine, 48(2), 210-217.</w:t>
      </w:r>
    </w:p>
    <w:p>
      <w:pPr>
        <w:ind w:left="720" w:hanging="720"/>
      </w:pPr>
      <w:r>
        <w:rPr>
          <w:b/>
          <w:sz w:val="20"/>
        </w:rPr>
        <w:t xml:space="preserve">[2] </w:t>
      </w:r>
      <w:r>
        <w:rPr>
          <w:sz w:val="20"/>
        </w:rPr>
        <w:t>Singer, M., Deutschman, C.S., Seymour, C.W., et al. (2016). The Third International Consensus Definitions for Sepsis and Septic Shock (Sepsis-3). JAMA, 315(8), 801-810.</w:t>
      </w:r>
    </w:p>
    <w:p>
      <w:pPr>
        <w:ind w:left="720" w:hanging="720"/>
      </w:pPr>
      <w:r>
        <w:rPr>
          <w:b/>
          <w:sz w:val="20"/>
        </w:rPr>
        <w:t xml:space="preserve">[3] </w:t>
      </w:r>
      <w:r>
        <w:rPr>
          <w:sz w:val="20"/>
        </w:rPr>
        <w:t>Cho, K., van Merrienboer, B., Gulcehre, C., et al. (2014). Learning phrase representations using RNN encoder-decoder for statistical machine translation. arXiv:1406.1078.</w:t>
      </w:r>
    </w:p>
    <w:p>
      <w:pPr>
        <w:ind w:left="720" w:hanging="720"/>
      </w:pPr>
      <w:r>
        <w:rPr>
          <w:b/>
          <w:sz w:val="20"/>
        </w:rPr>
        <w:t xml:space="preserve">[4] </w:t>
      </w:r>
      <w:r>
        <w:rPr>
          <w:sz w:val="20"/>
        </w:rPr>
        <w:t>Bahdanau, D., Cho, K., &amp; Bengio, Y. (2015). Neural machine translation by jointly learning to align and translate. Proceedings of ICLR 2015.</w:t>
      </w:r>
    </w:p>
    <w:p>
      <w:pPr>
        <w:ind w:left="720" w:hanging="720"/>
      </w:pPr>
      <w:r>
        <w:rPr>
          <w:b/>
          <w:sz w:val="20"/>
        </w:rPr>
        <w:t xml:space="preserve">[5] </w:t>
      </w:r>
      <w:r>
        <w:rPr>
          <w:sz w:val="20"/>
        </w:rPr>
        <w:t>Lundberg, S.M., &amp; Lee, S.I. (2017). A unified approach to interpreting model predictions. Advances in Neural Information Processing Systems, 30.</w:t>
      </w:r>
    </w:p>
    <w:p>
      <w:pPr>
        <w:ind w:left="720" w:hanging="720"/>
      </w:pPr>
      <w:r>
        <w:rPr>
          <w:b/>
          <w:sz w:val="20"/>
        </w:rPr>
        <w:t xml:space="preserve">[6] </w:t>
      </w:r>
      <w:r>
        <w:rPr>
          <w:sz w:val="20"/>
        </w:rPr>
        <w:t>Ke, G., Meng, Q., Finley, T., et al. (2017). LightGBM: A highly efficient gradient boosting decision tree. Advances in Neural Information Processing Systems, 30.</w:t>
      </w:r>
    </w:p>
    <w:p>
      <w:pPr>
        <w:ind w:left="720" w:hanging="720"/>
      </w:pPr>
      <w:r>
        <w:rPr>
          <w:b/>
          <w:sz w:val="20"/>
        </w:rPr>
        <w:t xml:space="preserve">[7] </w:t>
      </w:r>
      <w:r>
        <w:rPr>
          <w:sz w:val="20"/>
        </w:rPr>
        <w:t>Rubin, D.B. (1976). Inference and missing data. Biometrika, 63(3), 581-592.</w:t>
      </w:r>
    </w:p>
    <w:p>
      <w:pPr>
        <w:ind w:left="720" w:hanging="720"/>
      </w:pPr>
      <w:r>
        <w:rPr>
          <w:b/>
          <w:sz w:val="20"/>
        </w:rPr>
        <w:t xml:space="preserve">[8] </w:t>
      </w:r>
      <w:r>
        <w:rPr>
          <w:sz w:val="20"/>
        </w:rPr>
        <w:t>Lipton, Z.C., Kale, D.C., Elkan, C., &amp; Wetzel, R. (2016). Learning to diagnose with LSTM recurrent neural networks. Proceedings of ICLR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