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4"/>
        </w:rPr>
        <w:t>Early Prediction of Sepsis from ICU Time-Series Data</w:t>
      </w:r>
    </w:p>
    <w:p>
      <w:pPr>
        <w:jc w:val="center"/>
      </w:pPr>
      <w:r>
        <w:rPr>
          <w:color w:val="4A4A4A"/>
          <w:sz w:val="28"/>
        </w:rPr>
        <w:t>Using Gated Recurrent Units with Temporal Attention</w:t>
      </w:r>
    </w:p>
    <w:p/>
    <w:p>
      <w:pPr>
        <w:jc w:val="center"/>
      </w:pPr>
      <w:r>
        <w:rPr>
          <w:color w:val="666666"/>
          <w:sz w:val="24"/>
        </w:rPr>
        <w:t>PhysioNet/Computing in Cardiology Challenge 2019</w:t>
        <w:br/>
        <w:br/>
        <w:t>March 2026</w:t>
      </w:r>
    </w:p>
    <w:p>
      <w:r>
        <w:br w:type="page"/>
      </w:r>
    </w:p>
    <w:p>
      <w:pPr>
        <w:pStyle w:val="Heading1"/>
      </w:pPr>
      <w:r>
        <w:t>Table of Contents</w:t>
      </w:r>
    </w:p>
    <w:p>
      <w:pPr>
        <w:spacing w:after="40" w:before="0"/>
      </w:pPr>
      <w:r>
        <w:t>1. Introduction</w:t>
      </w:r>
    </w:p>
    <w:p>
      <w:pPr>
        <w:spacing w:after="40" w:before="0"/>
      </w:pPr>
      <w:r>
        <w:t>2. Dataset</w:t>
      </w:r>
    </w:p>
    <w:p>
      <w:pPr>
        <w:spacing w:after="40" w:before="0"/>
      </w:pPr>
      <w:r>
        <w:t>3. Preprocessing Pipeline</w:t>
      </w:r>
    </w:p>
    <w:p>
      <w:pPr>
        <w:spacing w:after="40" w:before="0"/>
      </w:pPr>
      <w:r>
        <w:t>4. Feature Engineering</w:t>
      </w:r>
    </w:p>
    <w:p>
      <w:pPr>
        <w:spacing w:after="40" w:before="0"/>
      </w:pPr>
      <w:r>
        <w:t>5. Model Architectures</w:t>
      </w:r>
    </w:p>
    <w:p>
      <w:pPr>
        <w:spacing w:after="40" w:before="0"/>
      </w:pPr>
      <w:r>
        <w:t xml:space="preserve">   5.1 LightGBM Baseline</w:t>
      </w:r>
    </w:p>
    <w:p>
      <w:pPr>
        <w:spacing w:after="40" w:before="0"/>
      </w:pPr>
      <w:r>
        <w:t xml:space="preserve">   5.2 Improved LightGBM</w:t>
      </w:r>
    </w:p>
    <w:p>
      <w:pPr>
        <w:spacing w:after="40" w:before="0"/>
      </w:pPr>
      <w:r>
        <w:t xml:space="preserve">   5.3 GRU with Temporal Attention</w:t>
      </w:r>
    </w:p>
    <w:p>
      <w:pPr>
        <w:spacing w:after="40" w:before="0"/>
      </w:pPr>
      <w:r>
        <w:t xml:space="preserve">   5.4 Architectural Considerations</w:t>
      </w:r>
    </w:p>
    <w:p>
      <w:pPr>
        <w:spacing w:after="40" w:before="0"/>
      </w:pPr>
      <w:r>
        <w:t>6. Training Methodology</w:t>
      </w:r>
    </w:p>
    <w:p>
      <w:pPr>
        <w:spacing w:after="40" w:before="0"/>
      </w:pPr>
      <w:r>
        <w:t>7. Evaluation Metric: Utility Score</w:t>
      </w:r>
    </w:p>
    <w:p>
      <w:pPr>
        <w:spacing w:after="40" w:before="0"/>
      </w:pPr>
      <w:r>
        <w:t>8. Hyperparameter Optimization</w:t>
      </w:r>
    </w:p>
    <w:p>
      <w:pPr>
        <w:spacing w:after="40" w:before="0"/>
      </w:pPr>
      <w:r>
        <w:t>9. Results</w:t>
      </w:r>
    </w:p>
    <w:p>
      <w:pPr/>
      <w:r>
        <w:t xml:space="preserve">   9.1 Individual Model Performance</w:t>
      </w:r>
    </w:p>
    <w:p>
      <w:pPr/>
      <w:r>
        <w:t xml:space="preserve">   9.2 Classification Metrics</w:t>
      </w:r>
    </w:p>
    <w:p>
      <w:pPr/>
      <w:r>
        <w:t xml:space="preserve">   9.3 Prediction Timing Analysis</w:t>
      </w:r>
    </w:p>
    <w:p>
      <w:pPr/>
      <w:r>
        <w:t xml:space="preserve">   9.4 Model Agreement Analysis</w:t>
      </w:r>
    </w:p>
    <w:p>
      <w:pPr/>
      <w:r>
        <w:t xml:space="preserve">   9.5 Comparison to PhysioNet Winners</w:t>
      </w:r>
    </w:p>
    <w:p>
      <w:r>
        <w:t>10. Explainability Analysis</w:t>
      </w:r>
    </w:p>
    <w:p>
      <w:r>
        <w:t>11. Technical Challenges and Solutions</w:t>
      </w:r>
    </w:p>
    <w:p>
      <w:pPr/>
      <w:r>
        <w:t>12. Conclusions and Future Work</w:t>
      </w:r>
    </w:p>
    <w:p>
      <w:pPr>
        <w:pStyle w:val="Heading1"/>
      </w:pPr>
      <w:r>
        <w:t>1. Introduction</w:t>
      </w:r>
    </w:p>
    <w:p>
      <w:pPr/>
      <w:r>
        <w:t>Sepsis is a life-threatening organ dysfunction caused by a dysregulated host response to infection, affecting approximately 1.7 million adults in the United States annually with mortality rates of 25-30%. Early recognition and treatment are critical, as each hour of delayed intervention increases mortality by 4-8%. This project develops a machine learning system for early sepsis prediction using the PhysioNet/Computing in Cardiology Challenge 2019 dataset, combining a bidirectional GRU with temporal attention and an improved LightGBM with 244 engineered features into an ensemble achieving a utility score of 0.4060.</w:t>
      </w:r>
    </w:p>
    <w:p>
      <w:pPr>
        <w:pStyle w:val="Heading1"/>
      </w:pPr>
      <w:r>
        <w:t>2. Dataset</w:t>
      </w:r>
    </w:p>
    <w:p>
      <w:pPr/>
      <w:r>
        <w:t>The PhysioNet 2019 Challenge dataset contains hourly clinical recordings from 40,336 ICU patients across two hospital systems (Beth Israel Deaconess Medical Center and Emory University Hospital). Each patient record consists of 40 clinical variables: 8 vital signs (HR, O2Sat, Temp, SBP, MAP, DBP, Resp, EtCO2), 26 laboratory values (including blood gases, metabolic panels, and coagulation studies), and 6 demographic features (Age, Gender, Unit1/Unit2, HospAdmTime, ICULOS).</w:t>
      </w:r>
    </w:p>
    <w:p>
      <w:pPr/>
      <w:r>
        <w:t>One of the most significant challenges of this dataset is the extreme degree of missingness. Vital signs are recorded most frequently but still exhibit 5-15% missingness, while laboratory values show 80-95% missingness as they are only measured when clinically indicated. This pattern of informative missingness, where the decision to order a lab test itself carries diagnostic information, motivates our use of missingness masks and time-since features.</w:t>
      </w:r>
    </w:p>
    <w:p>
      <w:pPr/>
      <w:r>
        <w:t>Class imbalance is another substantial challenge. Approximately 7% of patients develop sepsis during their ICU stay, but at the hourly sample level only 1.84% of observations carry a positive sepsis label (4,365 out of 236,654 validation samples). The dataset uses a 15% validation split at the patient level (6,051 patients), maintaining temporal integrity by never splitting a single patient across train and validation sets.</w:t>
      </w:r>
    </w:p>
    <w:tbl>
      <w:tblPr>
        <w:tblStyle w:val="TableGrid"/>
        <w:tblW w:type="auto" w:w="0"/>
        <w:jc w:val="center"/>
        <w:tblLook w:firstColumn="1" w:firstRow="1" w:lastColumn="0" w:lastRow="0" w:noHBand="0" w:noVBand="1" w:val="04A0"/>
      </w:tblPr>
      <w:tblGrid>
        <w:gridCol w:w="4320"/>
        <w:gridCol w:w="4320"/>
      </w:tblGrid>
      <w:tr>
        <w:tc>
          <w:tcPr>
            <w:tcW w:type="dxa" w:w="3402"/>
            <w:shd w:fill="D9E2F3" w:val="clear"/>
          </w:tcPr>
          <w:p>
            <w:r>
              <w:rPr>
                <w:b/>
                <w:sz w:val="18"/>
              </w:rPr>
              <w:t>Property</w:t>
            </w:r>
          </w:p>
        </w:tc>
        <w:tc>
          <w:tcPr>
            <w:tcW w:type="dxa" w:w="5669"/>
            <w:shd w:fill="D9E2F3" w:val="clear"/>
          </w:tcPr>
          <w:p>
            <w:r>
              <w:rPr>
                <w:b/>
                <w:sz w:val="18"/>
              </w:rPr>
              <w:t>Value</w:t>
            </w:r>
          </w:p>
        </w:tc>
      </w:tr>
      <w:tr>
        <w:tc>
          <w:tcPr>
            <w:tcW w:type="dxa" w:w="3402"/>
          </w:tcPr>
          <w:p>
            <w:r>
              <w:rPr>
                <w:sz w:val="18"/>
              </w:rPr>
              <w:t>Total patients</w:t>
            </w:r>
          </w:p>
        </w:tc>
        <w:tc>
          <w:tcPr>
            <w:tcW w:type="dxa" w:w="5669"/>
          </w:tcPr>
          <w:p>
            <w:r>
              <w:rPr>
                <w:sz w:val="18"/>
              </w:rPr>
              <w:t>~40,336</w:t>
            </w:r>
          </w:p>
        </w:tc>
      </w:tr>
      <w:tr>
        <w:tc>
          <w:tcPr>
            <w:tcW w:type="dxa" w:w="3402"/>
          </w:tcPr>
          <w:p>
            <w:r>
              <w:rPr>
                <w:sz w:val="18"/>
              </w:rPr>
              <w:t>Training set A (BIDMC)</w:t>
            </w:r>
          </w:p>
        </w:tc>
        <w:tc>
          <w:tcPr>
            <w:tcW w:type="dxa" w:w="5669"/>
          </w:tcPr>
          <w:p>
            <w:r>
              <w:rPr>
                <w:sz w:val="18"/>
              </w:rPr>
              <w:t>20,336 patients</w:t>
            </w:r>
          </w:p>
        </w:tc>
      </w:tr>
      <w:tr>
        <w:tc>
          <w:tcPr>
            <w:tcW w:type="dxa" w:w="3402"/>
          </w:tcPr>
          <w:p>
            <w:r>
              <w:rPr>
                <w:sz w:val="18"/>
              </w:rPr>
              <w:t>Training set B (Emory)</w:t>
            </w:r>
          </w:p>
        </w:tc>
        <w:tc>
          <w:tcPr>
            <w:tcW w:type="dxa" w:w="5669"/>
          </w:tcPr>
          <w:p>
            <w:r>
              <w:rPr>
                <w:sz w:val="18"/>
              </w:rPr>
              <w:t>20,000 patients</w:t>
            </w:r>
          </w:p>
        </w:tc>
      </w:tr>
      <w:tr>
        <w:tc>
          <w:tcPr>
            <w:tcW w:type="dxa" w:w="3402"/>
          </w:tcPr>
          <w:p>
            <w:r>
              <w:rPr>
                <w:sz w:val="18"/>
              </w:rPr>
              <w:t>Variables per hour</w:t>
            </w:r>
          </w:p>
        </w:tc>
        <w:tc>
          <w:tcPr>
            <w:tcW w:type="dxa" w:w="5669"/>
          </w:tcPr>
          <w:p>
            <w:r>
              <w:rPr>
                <w:sz w:val="18"/>
              </w:rPr>
              <w:t>40 clinical + 1 label</w:t>
            </w:r>
          </w:p>
        </w:tc>
      </w:tr>
      <w:tr>
        <w:tc>
          <w:tcPr>
            <w:tcW w:type="dxa" w:w="3402"/>
          </w:tcPr>
          <w:p>
            <w:r>
              <w:rPr>
                <w:sz w:val="18"/>
              </w:rPr>
              <w:t>Vital signs</w:t>
            </w:r>
          </w:p>
        </w:tc>
        <w:tc>
          <w:tcPr>
            <w:tcW w:type="dxa" w:w="5669"/>
          </w:tcPr>
          <w:p>
            <w:r>
              <w:rPr>
                <w:sz w:val="18"/>
              </w:rPr>
              <w:t>8 (HR, O2Sat, Temp, SBP, MAP, DBP, Resp, EtCO2)</w:t>
            </w:r>
          </w:p>
        </w:tc>
      </w:tr>
      <w:tr>
        <w:tc>
          <w:tcPr>
            <w:tcW w:type="dxa" w:w="3402"/>
          </w:tcPr>
          <w:p>
            <w:r>
              <w:rPr>
                <w:sz w:val="18"/>
              </w:rPr>
              <w:t>Laboratory values</w:t>
            </w:r>
          </w:p>
        </w:tc>
        <w:tc>
          <w:tcPr>
            <w:tcW w:type="dxa" w:w="5669"/>
          </w:tcPr>
          <w:p>
            <w:r>
              <w:rPr>
                <w:sz w:val="18"/>
              </w:rPr>
              <w:t>26</w:t>
            </w:r>
          </w:p>
        </w:tc>
      </w:tr>
      <w:tr>
        <w:tc>
          <w:tcPr>
            <w:tcW w:type="dxa" w:w="3402"/>
          </w:tcPr>
          <w:p>
            <w:r>
              <w:rPr>
                <w:sz w:val="18"/>
              </w:rPr>
              <w:t>Demographics</w:t>
            </w:r>
          </w:p>
        </w:tc>
        <w:tc>
          <w:tcPr>
            <w:tcW w:type="dxa" w:w="5669"/>
          </w:tcPr>
          <w:p>
            <w:r>
              <w:rPr>
                <w:sz w:val="18"/>
              </w:rPr>
              <w:t>6 (Age, Gender, Unit1, Unit2, HospAdmTime, ICULOS)</w:t>
            </w:r>
          </w:p>
        </w:tc>
      </w:tr>
      <w:tr>
        <w:tc>
          <w:tcPr>
            <w:tcW w:type="dxa" w:w="3402"/>
          </w:tcPr>
          <w:p>
            <w:r>
              <w:rPr>
                <w:sz w:val="18"/>
              </w:rPr>
              <w:t>Sepsis prevalence</w:t>
            </w:r>
          </w:p>
        </w:tc>
        <w:tc>
          <w:tcPr>
            <w:tcW w:type="dxa" w:w="5669"/>
          </w:tcPr>
          <w:p>
            <w:r>
              <w:rPr>
                <w:sz w:val="18"/>
              </w:rPr>
              <w:t>~7% of patients</w:t>
            </w:r>
          </w:p>
        </w:tc>
      </w:tr>
      <w:tr>
        <w:tc>
          <w:tcPr>
            <w:tcW w:type="dxa" w:w="3402"/>
          </w:tcPr>
          <w:p>
            <w:r>
              <w:rPr>
                <w:sz w:val="18"/>
              </w:rPr>
              <w:t>Hourly sepsis rate</w:t>
            </w:r>
          </w:p>
        </w:tc>
        <w:tc>
          <w:tcPr>
            <w:tcW w:type="dxa" w:w="5669"/>
          </w:tcPr>
          <w:p>
            <w:r>
              <w:rPr>
                <w:sz w:val="18"/>
              </w:rPr>
              <w:t>~1.8% of records</w:t>
            </w:r>
          </w:p>
        </w:tc>
      </w:tr>
      <w:tr>
        <w:tc>
          <w:tcPr>
            <w:tcW w:type="dxa" w:w="3402"/>
          </w:tcPr>
          <w:p>
            <w:r>
              <w:rPr>
                <w:sz w:val="18"/>
              </w:rPr>
              <w:t>Median stay length</w:t>
            </w:r>
          </w:p>
        </w:tc>
        <w:tc>
          <w:tcPr>
            <w:tcW w:type="dxa" w:w="5669"/>
          </w:tcPr>
          <w:p>
            <w:r>
              <w:rPr>
                <w:sz w:val="18"/>
              </w:rPr>
              <w:t>~30-40 hours</w:t>
            </w:r>
          </w:p>
        </w:tc>
      </w:tr>
      <w:tr>
        <w:tc>
          <w:tcPr>
            <w:tcW w:type="dxa" w:w="3402"/>
          </w:tcPr>
          <w:p>
            <w:r>
              <w:rPr>
                <w:sz w:val="18"/>
              </w:rPr>
              <w:t>Recording frequency</w:t>
            </w:r>
          </w:p>
        </w:tc>
        <w:tc>
          <w:tcPr>
            <w:tcW w:type="dxa" w:w="5669"/>
          </w:tcPr>
          <w:p>
            <w:r>
              <w:rPr>
                <w:sz w:val="18"/>
              </w:rPr>
              <w:t>Hourly</w:t>
            </w:r>
          </w:p>
        </w:tc>
      </w:tr>
    </w:tbl>
    <w:p>
      <w:pPr>
        <w:pStyle w:val="Heading1"/>
      </w:pPr>
      <w:r>
        <w:t>3. Preprocessing Pipeline</w:t>
      </w:r>
    </w:p>
    <w:p>
      <w:r>
        <w:t>The preprocessing pipeline transforms raw PSV files into model-ready tensors through a sequence of carefully designed steps. Each step addresses a specific challenge inherent in clinical time-series data, and the overall design prioritizes clinical validity by ensuring that no future information leaks into past observations.</w:t>
      </w:r>
    </w:p>
    <w:p>
      <w:pPr>
        <w:pStyle w:val="Heading2"/>
      </w:pPr>
      <w:r>
        <w:t>Data Loading</w:t>
      </w:r>
    </w:p>
    <w:p>
      <w:r>
        <w:t>Raw patient data is loaded from PSV files using the preprocessing module. Each file corresponds to a single patient and contains a tabular record of hourly observations across all 41 columns (40 features plus the SepsisLabel target). The loading function reads files from both training set directories (training_setA and training_setB) and organizes them into a dictionary keyed by patient ID, which is extracted from the filename. An optional max_patients parameter allows limiting the number of loaded patients for rapid prototyping and debugging.</w:t>
      </w:r>
    </w:p>
    <w:p>
      <w:pPr>
        <w:pStyle w:val="Heading2"/>
      </w:pPr>
      <w:r>
        <w:t>Forward-Fill Imputation</w:t>
      </w:r>
    </w:p>
    <w:p>
      <w:r>
        <w:t>The first imputation step applies forward-fill within each patient's time series. This strategy carries the last observed value forward to fill subsequent missing entries, implementing the clinical assumption that a patient's physiological state persists until a new measurement indicates otherwise. Crucially, forward-fill operates strictly in the temporal direction: it never uses future values to fill past gaps, which would constitute data leakage. Leading NaN values that occur before the first observation of a given feature remain unfilled at this stage and are handled by the subsequent population-level imputation step.</w:t>
      </w:r>
    </w:p>
    <w:p>
      <w:pPr>
        <w:pStyle w:val="Heading2"/>
      </w:pPr>
      <w:r>
        <w:t>Population-Level Imputation</w:t>
      </w:r>
    </w:p>
    <w:p>
      <w:r>
        <w:t>After forward-filling, any remaining missing values are imputed using population-level statistics computed exclusively from the training set. For each of the 40 input features, the training-set median is calculated across all patients and all time steps after forward-filling. These median values serve as fill values for any remaining NaNs, which typically correspond to features that were never measured for a given patient. The use of training-set statistics prevents information leakage from the validation set. When a feature's median is itself undefined (due to complete missingness across the training set), a default value of zero is used.</w:t>
      </w:r>
    </w:p>
    <w:p>
      <w:pPr>
        <w:pStyle w:val="Heading2"/>
      </w:pPr>
      <w:r>
        <w:t>Missingness Masks and Time-Since Features</w:t>
      </w:r>
    </w:p>
    <w:p>
      <w:r>
        <w:t>Before any imputation is performed, the pipeline captures two types of missingness information from the raw data. First, binary missingness masks are created for each of the 40 input features, where a value of 1 indicates that the original observation was missing and 0 indicates it was present. These masks allow the model to distinguish between imputed and genuinely observed values, which is essential given the informative nature of clinical missingness.</w:t>
      </w:r>
    </w:p>
    <w:p>
      <w:r>
        <w:t>Second, time-since-last-observation features are computed for each variable. At each time step, this feature records the number of hours elapsed since the most recent real observation of that variable. When a measurement is taken, the counter resets to zero; for each subsequent missing hour, it increments by one. Before the first observation in a patient's record, the counter begins at 1 and increases. These time-since features encode temporal density of measurement, providing the model with information about how stale each imputed value might be. A large time-since value for a vital sign, for instance, signals that the current imputed value may no longer reflect the patient's actual state.</w:t>
      </w:r>
    </w:p>
    <w:p>
      <w:pPr>
        <w:pStyle w:val="Heading2"/>
      </w:pPr>
      <w:r>
        <w:t>Normalization</w:t>
      </w:r>
    </w:p>
    <w:p>
      <w:r>
        <w:t>After imputation, the 40 value features are normalized using z-score standardization with winsorizing. For each feature, the 1st and 99th percentiles are computed from the training set. Values are first clipped to these bounds to reduce the influence of extreme outliers, which are common in clinical data due to measurement artifacts and physiological extremes. The clipped values are then standardized by subtracting the mean and dividing by the standard deviation, both computed from the clipped training data. For constant-valued features (standard deviation of zero), a standard deviation of 1.0 is used to avoid division by zero. Missingness masks and time-since features are not normalized, as they already have natural scales (binary and integer-valued, respectively).</w:t>
      </w:r>
    </w:p>
    <w:p>
      <w:pPr>
        <w:pStyle w:val="Heading2"/>
      </w:pPr>
      <w:r>
        <w:t>Train/Validation Split</w:t>
      </w:r>
    </w:p>
    <w:p>
      <w:r>
        <w:t>The dataset is split into training and validation sets at the patient level using an 85/15 ratio with a fixed random seed of 42 for reproducibility. Patient-level splitting is critical for clinical prediction tasks: splitting at the individual record level would allow the model to see future observations from the same patient during training, creating an artificially optimistic evaluation. With patient-level splitting, all hourly records from a given patient belong entirely to either the training or validation set.</w:t>
      </w:r>
    </w:p>
    <w:p>
      <w:pPr>
        <w:pStyle w:val="Heading2"/>
      </w:pPr>
      <w:r>
        <w:t>Sliding Window Construction</w:t>
      </w:r>
    </w:p>
    <w:p>
      <w:r>
        <w:t>The PyTorch dataset implementation converts the variable-length patient records into fixed-length input windows for the model. For each patient hour that requires a prediction, a sliding window of the preceding 24 hours (configurable via the seq_length parameter) is extracted. For early hours where fewer than 24 hours of history are available, the window is left-padded with zeros and a binary padding mask is created to indicate which positions contain real data. This padding mask is passed to the attention mechanism, which uses it to prevent the model from attending to padded positions. Each sample in the dataset thus consists of four components: the feature window (24 x 120), the binary label, the padding mask (24,), the patient ID, and the hour index within the patient's stay.</w:t>
      </w:r>
    </w:p>
    <w:p>
      <w:pPr>
        <w:pStyle w:val="Heading2"/>
      </w:pPr>
      <w:r>
        <w:t>Caching</w:t>
      </w:r>
    </w:p>
    <w:p>
      <w:r>
        <w:t>Preprocessing approximately 40,000 patients is computationally intensive, requiring roughly 10-15 minutes. To avoid repeating this work across training runs, the pipeline implements a caching mechanism. After the first preprocessing pass, all processed DataFrames along with population statistics are serialized to a pickle file in the data/processed/ directory. The cache filename includes a SHA-256 hash of the relevant configuration parameters (sequence length, validation split, max patients, input size, and random seed), ensuring that different configurations produce separate cache files. On subsequent runs, the pipeline checks whether a valid cache exists and whether it is newer than the raw data; if so, it loads the cached data directly, reducing startup time from minutes to seconds.</w:t>
      </w:r>
    </w:p>
    <w:p>
      <w:pPr>
        <w:pStyle w:val="Heading1"/>
      </w:pPr>
      <w:r>
        <w:t>4. Feature Engineering</w:t>
      </w:r>
    </w:p>
    <w:p>
      <w:r>
        <w:t>The feature engineering pipeline transforms the original 40 clinical variables into a 120-dimensional feature vector at each time step. This expansion is achieved by augmenting the raw values with two additional representations that capture the measurement process itself, rather than just the measured values.</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D9E2F3" w:val="clear"/>
          </w:tcPr>
          <w:p>
            <w:r>
              <w:rPr>
                <w:b/>
                <w:sz w:val="18"/>
              </w:rPr>
              <w:t>Feature Type</w:t>
            </w:r>
          </w:p>
        </w:tc>
        <w:tc>
          <w:tcPr>
            <w:tcW w:type="dxa" w:w="1134"/>
            <w:shd w:fill="D9E2F3" w:val="clear"/>
          </w:tcPr>
          <w:p>
            <w:r>
              <w:rPr>
                <w:b/>
                <w:sz w:val="18"/>
              </w:rPr>
              <w:t>Count</w:t>
            </w:r>
          </w:p>
        </w:tc>
        <w:tc>
          <w:tcPr>
            <w:tcW w:type="dxa" w:w="3402"/>
            <w:shd w:fill="D9E2F3" w:val="clear"/>
          </w:tcPr>
          <w:p>
            <w:r>
              <w:rPr>
                <w:b/>
                <w:sz w:val="18"/>
              </w:rPr>
              <w:t>Description</w:t>
            </w:r>
          </w:p>
        </w:tc>
        <w:tc>
          <w:tcPr>
            <w:tcW w:type="dxa" w:w="2835"/>
            <w:shd w:fill="D9E2F3" w:val="clear"/>
          </w:tcPr>
          <w:p>
            <w:r>
              <w:rPr>
                <w:b/>
                <w:sz w:val="18"/>
              </w:rPr>
              <w:t>Example</w:t>
            </w:r>
          </w:p>
        </w:tc>
      </w:tr>
      <w:tr>
        <w:tc>
          <w:tcPr>
            <w:tcW w:type="dxa" w:w="2268"/>
          </w:tcPr>
          <w:p>
            <w:r>
              <w:rPr>
                <w:sz w:val="18"/>
              </w:rPr>
              <w:t>Raw values</w:t>
            </w:r>
          </w:p>
        </w:tc>
        <w:tc>
          <w:tcPr>
            <w:tcW w:type="dxa" w:w="1134"/>
          </w:tcPr>
          <w:p>
            <w:r>
              <w:rPr>
                <w:sz w:val="18"/>
              </w:rPr>
              <w:t>40</w:t>
            </w:r>
          </w:p>
        </w:tc>
        <w:tc>
          <w:tcPr>
            <w:tcW w:type="dxa" w:w="3402"/>
          </w:tcPr>
          <w:p>
            <w:r>
              <w:rPr>
                <w:sz w:val="18"/>
              </w:rPr>
              <w:t>Normalized clinical measurements</w:t>
            </w:r>
          </w:p>
        </w:tc>
        <w:tc>
          <w:tcPr>
            <w:tcW w:type="dxa" w:w="2835"/>
          </w:tcPr>
          <w:p>
            <w:r>
              <w:rPr>
                <w:sz w:val="18"/>
              </w:rPr>
              <w:t>HR = 0.85 (z-scored)</w:t>
            </w:r>
          </w:p>
        </w:tc>
      </w:tr>
      <w:tr>
        <w:tc>
          <w:tcPr>
            <w:tcW w:type="dxa" w:w="2268"/>
          </w:tcPr>
          <w:p>
            <w:r>
              <w:rPr>
                <w:sz w:val="18"/>
              </w:rPr>
              <w:t>Missingness masks</w:t>
            </w:r>
          </w:p>
        </w:tc>
        <w:tc>
          <w:tcPr>
            <w:tcW w:type="dxa" w:w="1134"/>
          </w:tcPr>
          <w:p>
            <w:r>
              <w:rPr>
                <w:sz w:val="18"/>
              </w:rPr>
              <w:t>40</w:t>
            </w:r>
          </w:p>
        </w:tc>
        <w:tc>
          <w:tcPr>
            <w:tcW w:type="dxa" w:w="3402"/>
          </w:tcPr>
          <w:p>
            <w:r>
              <w:rPr>
                <w:sz w:val="18"/>
              </w:rPr>
              <w:t>Binary: 1 = originally missing</w:t>
            </w:r>
          </w:p>
        </w:tc>
        <w:tc>
          <w:tcPr>
            <w:tcW w:type="dxa" w:w="2835"/>
          </w:tcPr>
          <w:p>
            <w:r>
              <w:rPr>
                <w:sz w:val="18"/>
              </w:rPr>
              <w:t>HR_missing = 0</w:t>
            </w:r>
          </w:p>
        </w:tc>
      </w:tr>
      <w:tr>
        <w:tc>
          <w:tcPr>
            <w:tcW w:type="dxa" w:w="2268"/>
          </w:tcPr>
          <w:p>
            <w:r>
              <w:rPr>
                <w:sz w:val="18"/>
              </w:rPr>
              <w:t>Time-since features</w:t>
            </w:r>
          </w:p>
        </w:tc>
        <w:tc>
          <w:tcPr>
            <w:tcW w:type="dxa" w:w="1134"/>
          </w:tcPr>
          <w:p>
            <w:r>
              <w:rPr>
                <w:sz w:val="18"/>
              </w:rPr>
              <w:t>40</w:t>
            </w:r>
          </w:p>
        </w:tc>
        <w:tc>
          <w:tcPr>
            <w:tcW w:type="dxa" w:w="3402"/>
          </w:tcPr>
          <w:p>
            <w:r>
              <w:rPr>
                <w:sz w:val="18"/>
              </w:rPr>
              <w:t>Hours since last observation</w:t>
            </w:r>
          </w:p>
        </w:tc>
        <w:tc>
          <w:tcPr>
            <w:tcW w:type="dxa" w:w="2835"/>
          </w:tcPr>
          <w:p>
            <w:r>
              <w:rPr>
                <w:sz w:val="18"/>
              </w:rPr>
              <w:t>Creatinine_time_since = 12</w:t>
            </w:r>
          </w:p>
        </w:tc>
      </w:tr>
      <w:tr>
        <w:tc>
          <w:tcPr>
            <w:tcW w:type="dxa" w:w="2268"/>
          </w:tcPr>
          <w:p>
            <w:r>
              <w:rPr>
                <w:sz w:val="18"/>
              </w:rPr>
              <w:t>Total</w:t>
            </w:r>
          </w:p>
        </w:tc>
        <w:tc>
          <w:tcPr>
            <w:tcW w:type="dxa" w:w="1134"/>
          </w:tcPr>
          <w:p>
            <w:r>
              <w:rPr>
                <w:sz w:val="18"/>
              </w:rPr>
              <w:t>120</w:t>
            </w:r>
          </w:p>
        </w:tc>
        <w:tc>
          <w:tcPr>
            <w:tcW w:type="dxa" w:w="3402"/>
          </w:tcPr>
          <w:p>
            <w:r>
              <w:rPr>
                <w:sz w:val="18"/>
              </w:rPr>
              <w:t>Complete feature vector per hour</w:t>
            </w:r>
          </w:p>
        </w:tc>
        <w:tc>
          <w:tcPr>
            <w:tcW w:type="dxa" w:w="2835"/>
          </w:tcPr>
          <w:p>
            <w:r>
              <w:rPr>
                <w:sz w:val="18"/>
              </w:rPr>
            </w:r>
          </w:p>
        </w:tc>
      </w:tr>
    </w:tbl>
    <w:p>
      <w:r>
        <w:t>The 40 raw value features represent the normalized clinical measurements after forward-fill and population-level imputation. These include 8 vital signs that capture the patient's core physiological state (hemodynamics, oxygenation, temperature regulation), 26 laboratory values that reflect organ function and metabolic status, and 6 demographic variables that provide static patient context. After z-score normalization with winsorizing, these values are centered around zero with unit variance, ensuring that no single feature dominates the input simply due to its natural scale.</w:t>
      </w:r>
    </w:p>
    <w:p>
      <w:r>
        <w:t>The 40 missingness mask features encode a binary indicator for each variable at each time step, capturing whether the original observation was missing. In ICU settings, the pattern of missing data is highly informative. When a clinician orders a battery of laboratory tests, it typically reflects a heightened level of concern about the patient's condition. Conversely, a routine monitoring period with only vital signs recorded suggests clinical stability. The model can learn these ordering patterns as indirect signals of clinical judgment, effectively leveraging the expertise embedded in the data collection process.</w:t>
      </w:r>
    </w:p>
    <w:p>
      <w:r>
        <w:t>The 40 time-since features complement the missingness masks by encoding not just whether a value is missing, but how long ago the last real measurement was taken. A heart rate reading from one hour ago carries different reliability than one from twelve hours ago, even though both appear as identical imputed values after forward-filling. The time-since counter provides the model with this freshness information, enabling it to weight recent observations more heavily than stale ones. These features are particularly valuable for laboratory values, where measurement intervals of 12-24 hours are common and the patient's true state may have changed substantially since the last observation.</w:t>
      </w:r>
    </w:p>
    <w:p>
      <w:r>
        <w:t>This tripartite feature representation, encoding what was measured, what was not measured, and when each measurement occurred, provides the model with a comprehensive view of both the patient's physiological state and the clinical monitoring context. The approach is grounded in the observation that in clinical time-series data, the measurement process itself carries diagnostic information that is lost when missingness is treated simply as a nuisance to be imputed away.</w:t>
      </w:r>
    </w:p>
    <w:p>
      <w:pPr>
        <w:pStyle w:val="Heading1"/>
      </w:pPr>
      <w:r>
        <w:t>5. Model Architectures</w:t>
      </w:r>
    </w:p>
    <w:p>
      <w:r>
        <w:t>This project evaluates three model configurations for sepsis prediction: a LightGBM gradient boosting baseline, an improved LightGBM with enhanced feature engineering, and a bidirectional GRU with temporal attention. The final system combines the improved LightGBM and GRU into an ensemble that achieves a utility score of 0.4060.</w:t>
      </w:r>
    </w:p>
    <w:p>
      <w:pPr>
        <w:pStyle w:val="Heading2"/>
      </w:pPr>
      <w:r>
        <w:t>5.1 LightGBM Baseline</w:t>
      </w:r>
    </w:p>
    <w:p>
      <w:r>
        <w:t>Gradient boosted decision trees have established themselves as strong baselines for tabular clinical data, and LightGBM in particular offers efficient training with built-in handling of class imbalance. The baseline model operates on a flattened feature representation: for each hourly prediction, the 120 preprocessed features are augmented with rolling window statistics (mean, min, max, standard deviation) and trend features (linear regression slope) computed over the preceding 6 hours for each of the 8 vital signs. This produces 120 + 8 x 5 = 160 features per sample, capturing recent temporal context without requiring a sequential model architecture.</w:t>
      </w:r>
    </w:p>
    <w:p>
      <w:r>
        <w:t>The LightGBM model uses gradient-based one-side sampling (GOSS) with 63 leaves per tree, a learning rate of 0.05, and feature and bagging fractions of 0.8 each to prevent overfitting. The is_unbalance flag is enabled to automatically adjust for the severe class imbalance. Training employs up to 1,000 boosting rounds with early stopping after 50 rounds of no improvement on the validation set. After training, the optimal classification threshold is determined by sweeping from 0.10 to 0.90 in increments of 0.05 and selecting the threshold that maximizes the PhysioNet utility score on the validation set. This threshold search is critical because the asymmetric costs in the utility function mean that the default 0.5 threshold is rarely optimal.</w:t>
      </w:r>
    </w:p>
    <w:p>
      <w:r>
        <w:t>The LightGBM baseline achieved a utility score of 0.137 with an optimal threshold of 0.15. This limited performance motivated the development of an improved LightGBM with substantially richer feature engineering, described in Section 5.2.</w:t>
      </w:r>
    </w:p>
    <w:p>
      <w:pPr>
        <w:pStyle w:val="Heading2"/>
      </w:pPr>
      <w:r>
        <w:t>5.2 Improved LightGBM</w:t>
      </w:r>
    </w:p>
    <w:p>
      <w:pPr/>
      <w:r>
        <w:t>The improved LightGBM addresses the baseline's limitations through extensive feature engineering and tuned hyperparameters. The feature set expands from 160 to 244 features per sample. Beyond the original 120 base features and 40 rolling statistics (6-hour window), the improved model adds 12-hour and 24-hour rolling windows (32 features each for mean, min, max, and std of 8 vital signs), rate-of-change features (current value minus value 6 hours ago for each vital), time-weighted exponential averages with a 3-hour half-life, and four clinical interaction features: the HR-SBP product (a proxy for hemodynamic stability), MAP trend over 6 hours, the Resp-HR product, and absolute temperature deviation.</w:t>
      </w:r>
    </w:p>
    <w:p>
      <w:pPr/>
      <w:r>
        <w:t>The improved hyperparameters use 127 leaves (versus 63), a learning rate of 0.05, minimum 100 samples per leaf for regularization, and mild L1/L2 penalties of 0.01 each. Critically, early stopping is disabled in favor of a fixed 500 trees, as experiments showed that early stopping terminated training prematurely. With 1,000 trees the model overfitted (utility dropped from 0.3976 to 0.3871 despite lower validation loss), confirming that 500 trees strikes the optimal bias-variance trade-off. The improved LightGBM achieves a utility score of 0.3976 with a threshold of 0.50, representing a 2.9x improvement over the original baseline.</w:t>
      </w:r>
    </w:p>
    <w:p>
      <w:pPr/>
      <w:r>
        <w:t>The top features by importance (gain) reveal that ICULOS dominates at 4,488,875 gain, followed by HospAdmTime (1,347,548), pH_time_since (1,169,072), and Temp_rolling_max (825,519). The prominence of ICULOS and HospAdmTime suggests the model learned that a patient's position in their ICU trajectory is highly predictive, while the rolling temperature maximum and pH timing capture early physiological deterioration.</w:t>
      </w:r>
    </w:p>
    <w:p>
      <w:pPr>
        <w:pStyle w:val="Heading2"/>
      </w:pPr>
      <w:r>
        <w:t>5.3 GRU with Temporal Attention</w:t>
      </w:r>
    </w:p>
    <w:p>
      <w:r>
        <w:t>The primary model employs a Gated Recurrent Unit (GRU) architecture augmented with temporal attention. GRUs were selected over Long Short-Term Memory (LSTM) networks based on several practical considerations. Both architectures are capable of learning long-range temporal dependencies, but GRUs achieve comparable performance with fewer parameters due to their simpler gating structure (two gates versus LSTM's three). This reduction in parameters leads to faster training and lower memory consumption, which is relevant when training on a consumer GPU with 8 GB of VRAM. Additionally, empirical evidence in the clinical time-series literature suggests that GRUs perform on par with LSTMs for ICU prediction tasks where the relevant temporal patterns span hours to days rather than the much longer dependencies that might favor LSTMs.</w:t>
      </w:r>
    </w:p>
    <w:p>
      <w:r>
        <w:t>The model architecture follows a sequential design: Input (120 features) followed by LayerNorm, followed by a Bidirectional GRU (hidden size 256, 1 layer), followed by Temporal Attention (Bahdanau, attention dimension 64), followed by a fully connected classification head (512 to 64 to 1). The total model comprises 646,641 trainable parameters.</w:t>
      </w:r>
    </w:p>
    <w:p>
      <w:r>
        <w:t>The temporal attention mechanism follows the additive (Bahdanau) formulation. For each GRU hidden state h_t, a scalar attention score is computed as: score_t = v^T * tanh(W * h_t + b), where W and v are learned parameters. These scores are normalized via softmax to produce a probability distribution over time steps, which serves as the attention weights. The final context vector is computed as the weighted sum of all hidden states, effectively allowing the model to focus on the most diagnostically relevant hours within the 24-hour window. The attention mechanism uses a projection dimension of 64, reducing the 256-dimensional hidden states before scoring.</w:t>
      </w:r>
    </w:p>
    <w:p>
      <w:r>
        <w:t>The attention mechanism serves a dual purpose in this architecture. From a modeling perspective, it provides a learned pooling strategy that is more flexible than simply taking the last hidden state or an unweighted average. From an interpretability perspective, the attention weights offer a transparent window into which time steps the model considers most important for each prediction, enabling clinicians to assess whether the model's temporal focus aligns with clinical reasoning. This is discussed further in Section 10.</w:t>
      </w:r>
    </w:p>
    <w:p>
      <w:r>
        <w:t>After attention pooling, the context vector passes through a two-layer classification head: a linear projection from 512 to 64 dimensions with ReLU activation and dropout, followed by a final projection to a single output logit. The complete model contains 646,641 trainable parameters, the majority of which reside in the GRU layer.</w:t>
      </w:r>
    </w:p>
    <w:p>
      <w:pPr>
        <w:pStyle w:val="Heading2"/>
      </w:pPr>
      <w:r>
        <w:t>5.4 Architectural Considerations</w:t>
      </w:r>
    </w:p>
    <w:p>
      <w:r>
        <w:t>The final ensemble utility of 0.4060 places our system competitively among the PhysioNet 2019 Challenge entries, where winners achieved 0.36-0.43 on the hidden test set. The top three entries all used gradient boosting with extensive feature engineering: XGBoost with over 400 features (0.43), LightGBM with feature engineering (0.41), and a gradient boosting ensemble (0.40). Our approach uniquely combines a deep learning model with gradient boosting, leveraging the complementary strengths of each paradigm.</w:t>
      </w:r>
    </w:p>
    <w:p>
      <w:r>
        <w:t>The key insight that emerged from our experimentation is that for this particular clinical prediction task, the quality of input features and preprocessing matters more than the choice of neural architecture. The tripartite feature representation (values, missingness, time-since) provides the model with rich information that a more complex architecture cannot recover if it is not present in the input. This observation aligns with findings from several PhysioNet 2019 Challenge participants, where well-engineered gradient boosting models sometimes outperformed neural approaches that used raw inputs alone.</w:t>
      </w:r>
    </w:p>
    <w:p>
      <w:pPr>
        <w:pStyle w:val="Heading1"/>
      </w:pPr>
      <w:r>
        <w:t>6. Training Methodology</w:t>
      </w:r>
    </w:p>
    <w:p>
      <w:r>
        <w:t>The training procedure for the GRU model is designed to address the specific challenges of sepsis prediction, particularly the severe class imbalance and the need for calibrated probability outputs. Training is orchestrated by the SepsisTrainer class, which encapsulates the full training loop including loss computation, optimization, learning rate scheduling, validation, and model checkpointing.</w:t>
      </w:r>
    </w:p>
    <w:p>
      <w:r>
        <w:t>The loss function is weighted binary cross-entropy with logits, which combines a sigmoid activation and binary cross-entropy loss in a single numerically stable operation. To address the class imbalance (approximately 1.8% positive rate at the hourly level), a positive class weight is applied that upweights the contribution of sepsis-positive samples to the loss. This weight is computed automatically as the ratio of negative to positive samples in the training set, which yields a weight of approximately 54. In the optimized configuration, this weight is further multiplied by a factor of 2.0, producing an effective positive weight of approximately 108. This aggressive upweighting encourages the model to prioritize sensitivity (detecting sepsis cases) over specificity (avoiding false alarms), which is aligned with the clinical utility function where missing a sepsis case carries a far greater penalty than a false alarm.</w:t>
      </w:r>
    </w:p>
    <w:p>
      <w:r>
        <w:t>Optimization uses the Adam optimizer with a learning rate of 0.00095 and weight decay of 0.0001 for L2 regularization. The learning rate was identified through Optuna hyperparameter search as optimal for this architecture. A ReduceLROnPlateau scheduler monitors the validation loss with a patience of 5 epochs and a reduction factor of 0.5, with a minimum learning rate floor of 0.00001. This adaptive schedule allows the model to take larger steps early in training and fine-tune with smaller steps as it approaches convergence.</w:t>
      </w:r>
    </w:p>
    <w:p>
      <w:r>
        <w:t>Gradient clipping with a maximum norm of 1.0 is applied at every optimization step to prevent the exploding gradient problem that can affect recurrent networks, particularly when processing long sequences or encountering outlier samples. Mixed precision training (FP16) is enabled on CUDA devices using PyTorch's automatic mixed precision (AMP) with gradient scaling, which approximately halves memory consumption and accelerates computation on modern GPUs without measurable impact on model quality.</w:t>
      </w:r>
    </w:p>
    <w:p>
      <w:r>
        <w:t>Early stopping is implemented with a patience of 10 epochs, monitoring the validation utility score. When a new best utility score is achieved, the model checkpoint (including model weights, optimizer state, utility score, and optimal threshold) is saved. Training terminates after 50 epochs or when 10 consecutive epochs fail to improve the validation utility, whichever comes first. The final model used for evaluation is always the checkpoint corresponding to the best validation utility, not the model at the end of training. TensorBoard logging records training loss, validation loss, utility score, threshold, and learning rate at each epoch for monitoring and diagnostics.</w:t>
      </w:r>
    </w:p>
    <w:p>
      <w:pPr>
        <w:pStyle w:val="Heading1"/>
      </w:pPr>
      <w:r>
        <w:t>7. Evaluation Metric: Utility Score</w:t>
      </w:r>
    </w:p>
    <w:p>
      <w:r>
        <w:t>Standard classification metrics such as accuracy, AUROC, and F1 score are inadequate for evaluating sepsis prediction systems because they fail to account for the clinical context of the predictions. Accuracy is meaningless when 98% of samples are negative. AUROC, while threshold-independent, treats all types of errors equally and does not capture the time-sensitive nature of sepsis detection. A model that correctly identifies sepsis three hours after onset receives the same AUROC credit as one that detects it six hours before onset, despite the profound difference in clinical impact.</w:t>
      </w:r>
    </w:p>
    <w:p>
      <w:r>
        <w:t>The PhysioNet 2019 Challenge introduced a custom utility score that directly encodes clinical value. The scoring operates at the patient level rather than the sample level: for each patient, the utility depends on the timing of the first positive prediction relative to the true sepsis onset. This design reflects clinical reality, where the relevant decision is when to initiate sepsis treatment for a given patient, not whether each individual hour should be classified as septic.</w:t>
      </w:r>
    </w:p>
    <w:p>
      <w:r>
        <w:t>For sepsis patients, the utility contribution depends on the time difference dt between the first positive prediction and the true onset of sepsis. The reward structure is designed to incentivize early detection while penalizing both premature false alarms and missed cases, as summarized in the following table.</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fill="D9E2F3" w:val="clear"/>
          </w:tcPr>
          <w:p>
            <w:r>
              <w:rPr>
                <w:b/>
                <w:sz w:val="18"/>
              </w:rPr>
              <w:t>Timing (dt)</w:t>
            </w:r>
          </w:p>
        </w:tc>
        <w:tc>
          <w:tcPr>
            <w:tcW w:type="dxa" w:w="1984"/>
            <w:shd w:fill="D9E2F3" w:val="clear"/>
          </w:tcPr>
          <w:p>
            <w:r>
              <w:rPr>
                <w:b/>
                <w:sz w:val="18"/>
              </w:rPr>
              <w:t>Condition</w:t>
            </w:r>
          </w:p>
        </w:tc>
        <w:tc>
          <w:tcPr>
            <w:tcW w:type="dxa" w:w="1417"/>
            <w:shd w:fill="D9E2F3" w:val="clear"/>
          </w:tcPr>
          <w:p>
            <w:r>
              <w:rPr>
                <w:b/>
                <w:sz w:val="18"/>
              </w:rPr>
              <w:t>Utility</w:t>
            </w:r>
          </w:p>
        </w:tc>
        <w:tc>
          <w:tcPr>
            <w:tcW w:type="dxa" w:w="3969"/>
            <w:shd w:fill="D9E2F3" w:val="clear"/>
          </w:tcPr>
          <w:p>
            <w:r>
              <w:rPr>
                <w:b/>
                <w:sz w:val="18"/>
              </w:rPr>
              <w:t>Clinical Interpretation</w:t>
            </w:r>
          </w:p>
        </w:tc>
      </w:tr>
      <w:tr>
        <w:tc>
          <w:tcPr>
            <w:tcW w:type="dxa" w:w="1701"/>
          </w:tcPr>
          <w:p>
            <w:r>
              <w:rPr>
                <w:sz w:val="18"/>
              </w:rPr>
              <w:t>dt &lt; -12</w:t>
            </w:r>
          </w:p>
        </w:tc>
        <w:tc>
          <w:tcPr>
            <w:tcW w:type="dxa" w:w="1984"/>
          </w:tcPr>
          <w:p>
            <w:r>
              <w:rPr>
                <w:sz w:val="18"/>
              </w:rPr>
              <w:t>Too early</w:t>
            </w:r>
          </w:p>
        </w:tc>
        <w:tc>
          <w:tcPr>
            <w:tcW w:type="dxa" w:w="1417"/>
          </w:tcPr>
          <w:p>
            <w:r>
              <w:rPr>
                <w:sz w:val="18"/>
              </w:rPr>
              <w:t>-0.05</w:t>
            </w:r>
          </w:p>
        </w:tc>
        <w:tc>
          <w:tcPr>
            <w:tcW w:type="dxa" w:w="3969"/>
          </w:tcPr>
          <w:p>
            <w:r>
              <w:rPr>
                <w:sz w:val="18"/>
              </w:rPr>
              <w:t>False alarm, prediction &gt;12h before onset</w:t>
            </w:r>
          </w:p>
        </w:tc>
      </w:tr>
      <w:tr>
        <w:tc>
          <w:tcPr>
            <w:tcW w:type="dxa" w:w="1701"/>
          </w:tcPr>
          <w:p>
            <w:r>
              <w:rPr>
                <w:sz w:val="18"/>
              </w:rPr>
              <w:t>-12 &lt;= dt &lt; -6</w:t>
            </w:r>
          </w:p>
        </w:tc>
        <w:tc>
          <w:tcPr>
            <w:tcW w:type="dxa" w:w="1984"/>
          </w:tcPr>
          <w:p>
            <w:r>
              <w:rPr>
                <w:sz w:val="18"/>
              </w:rPr>
              <w:t>Early detection</w:t>
            </w:r>
          </w:p>
        </w:tc>
        <w:tc>
          <w:tcPr>
            <w:tcW w:type="dxa" w:w="1417"/>
          </w:tcPr>
          <w:p>
            <w:r>
              <w:rPr>
                <w:sz w:val="18"/>
              </w:rPr>
              <w:t>Linear [0, 1)</w:t>
            </w:r>
          </w:p>
        </w:tc>
        <w:tc>
          <w:tcPr>
            <w:tcW w:type="dxa" w:w="3969"/>
          </w:tcPr>
          <w:p>
            <w:r>
              <w:rPr>
                <w:sz w:val="18"/>
              </w:rPr>
              <w:t>Increasing reward for approaching optimal window</w:t>
            </w:r>
          </w:p>
        </w:tc>
      </w:tr>
      <w:tr>
        <w:tc>
          <w:tcPr>
            <w:tcW w:type="dxa" w:w="1701"/>
          </w:tcPr>
          <w:p>
            <w:r>
              <w:rPr>
                <w:sz w:val="18"/>
              </w:rPr>
              <w:t>-6 &lt;= dt &lt;= +3</w:t>
            </w:r>
          </w:p>
        </w:tc>
        <w:tc>
          <w:tcPr>
            <w:tcW w:type="dxa" w:w="1984"/>
          </w:tcPr>
          <w:p>
            <w:r>
              <w:rPr>
                <w:sz w:val="18"/>
              </w:rPr>
              <w:t>Optimal window</w:t>
            </w:r>
          </w:p>
        </w:tc>
        <w:tc>
          <w:tcPr>
            <w:tcW w:type="dxa" w:w="1417"/>
          </w:tcPr>
          <w:p>
            <w:r>
              <w:rPr>
                <w:sz w:val="18"/>
              </w:rPr>
              <w:t>+1.0</w:t>
            </w:r>
          </w:p>
        </w:tc>
        <w:tc>
          <w:tcPr>
            <w:tcW w:type="dxa" w:w="3969"/>
          </w:tcPr>
          <w:p>
            <w:r>
              <w:rPr>
                <w:sz w:val="18"/>
              </w:rPr>
              <w:t>Full credit for timely detection</w:t>
            </w:r>
          </w:p>
        </w:tc>
      </w:tr>
      <w:tr>
        <w:tc>
          <w:tcPr>
            <w:tcW w:type="dxa" w:w="1701"/>
          </w:tcPr>
          <w:p>
            <w:r>
              <w:rPr>
                <w:sz w:val="18"/>
              </w:rPr>
              <w:t>dt &gt; +3</w:t>
            </w:r>
          </w:p>
        </w:tc>
        <w:tc>
          <w:tcPr>
            <w:tcW w:type="dxa" w:w="1984"/>
          </w:tcPr>
          <w:p>
            <w:r>
              <w:rPr>
                <w:sz w:val="18"/>
              </w:rPr>
              <w:t>Late detection</w:t>
            </w:r>
          </w:p>
        </w:tc>
        <w:tc>
          <w:tcPr>
            <w:tcW w:type="dxa" w:w="1417"/>
          </w:tcPr>
          <w:p>
            <w:r>
              <w:rPr>
                <w:sz w:val="18"/>
              </w:rPr>
              <w:t>Linear [1, 0]</w:t>
            </w:r>
          </w:p>
        </w:tc>
        <w:tc>
          <w:tcPr>
            <w:tcW w:type="dxa" w:w="3969"/>
          </w:tcPr>
          <w:p>
            <w:r>
              <w:rPr>
                <w:sz w:val="18"/>
              </w:rPr>
              <w:t>Decreasing reward, detection after onset</w:t>
            </w:r>
          </w:p>
        </w:tc>
      </w:tr>
      <w:tr>
        <w:tc>
          <w:tcPr>
            <w:tcW w:type="dxa" w:w="1701"/>
          </w:tcPr>
          <w:p>
            <w:r>
              <w:rPr>
                <w:sz w:val="18"/>
              </w:rPr>
              <w:t>Missed entirely</w:t>
            </w:r>
          </w:p>
        </w:tc>
        <w:tc>
          <w:tcPr>
            <w:tcW w:type="dxa" w:w="1984"/>
          </w:tcPr>
          <w:p>
            <w:r>
              <w:rPr>
                <w:sz w:val="18"/>
              </w:rPr>
              <w:t>No positive prediction</w:t>
            </w:r>
          </w:p>
        </w:tc>
        <w:tc>
          <w:tcPr>
            <w:tcW w:type="dxa" w:w="1417"/>
          </w:tcPr>
          <w:p>
            <w:r>
              <w:rPr>
                <w:sz w:val="18"/>
              </w:rPr>
              <w:t>-2.0</w:t>
            </w:r>
          </w:p>
        </w:tc>
        <w:tc>
          <w:tcPr>
            <w:tcW w:type="dxa" w:w="3969"/>
          </w:tcPr>
          <w:p>
            <w:r>
              <w:rPr>
                <w:sz w:val="18"/>
              </w:rPr>
              <w:t>Severe penalty for failing to detect sepsis</w:t>
            </w:r>
          </w:p>
        </w:tc>
      </w:tr>
    </w:tbl>
    <w:p>
      <w:r>
        <w:t>For non-sepsis patients, each hour with a false positive prediction incurs a penalty of -0.05, reflecting the clinical cost of unnecessary interventions triggered by false alarms. True negative hours contribute zero utility, representing the baseline of correct non-action.</w:t>
      </w:r>
    </w:p>
    <w:p>
      <w:r>
        <w:t>The raw utility score is normalized to the range [0, 1] using the formula: Utility_normalized = (U_observed - U_baseline) / (U_optimal - U_baseline), where U_baseline is the utility achieved by predicting all-negative (every sepsis patient is missed, yielding -2.0 per sepsis patient) and U_optimal is the best possible utility (every sepsis patient detected in the optimal window, yielding +1.0 per sepsis patient). This normalization ensures that a score of 0 corresponds to the trivial all-negative strategy and a score of 1 represents perfect prediction. Negative scores indicate performance worse than predicting all-negative, which would occur with excessive false alarms.</w:t>
      </w:r>
    </w:p>
    <w:p>
      <w:r>
        <w:t>To illustrate, consider a scenario with 100 patients: 7 with sepsis and 93 without. A model that correctly detects all 7 sepsis cases within the optimal window and produces no false positives achieves the maximum utility of 1.0. A model that detects 5 of 7 cases optimally, misses 2, and produces 10 false positive hours across non-sepsis patients achieves: observed = 5(1.0) + 2(-2.0) + 10(-0.05) = 0.5, optimal = 7(1.0) = 7.0, baseline = 7(-2.0) = -14.0, yielding a normalized score of (0.5 - (-14.0)) / (7.0 - (-14.0)) = 14.5 / 21.0 = 0.69.</w:t>
      </w:r>
    </w:p>
    <w:p>
      <w:pPr>
        <w:pStyle w:val="Heading1"/>
      </w:pPr>
      <w:r>
        <w:t>8. Hyperparameter Optimization</w:t>
      </w:r>
    </w:p>
    <w:p>
      <w:r>
        <w:t>Hyperparameter optimization was conducted using the Optuna framework over 12 trials, of which 2 were pruned by the MedianPruner for underperformance. The optimization explored seven hyperparameters: hidden size (64-256), number of GRU layers (1-3), dropout (0.1-0.5), learning rate (0.0001-0.01), batch size (32-128), bidirectionality, and positive weight multiplier (0.5-2.0). Utility scores across completed trials ranged from 0.188 to 0.329, revealing several consistent patterns.</w:t>
      </w:r>
    </w:p>
    <w:p>
      <w:r>
        <w:t>The TPE sampler efficiently navigated the search space, identifying that bidirectional processing consistently outperformed unidirectional models, lower dropout (0.1) was preferable to higher values (0.3-0.5), and a single GRU layer outperformed deeper architectures with 2-3 layers. Perhaps most notably, a lower positive weight multiplier of 0.5 (effective weight ~27) prevented over-prediction compared to the full weight of 54.86, which caused excessive false positives. The best configuration was identified in Trial 8 with a utility score of 0.3294 during the optimization run.</w:t>
      </w:r>
    </w:p>
    <w:p>
      <w:r>
        <w:t>The complete trial results demonstrate the sensitivity of the utility score to hyperparameter choices. Trials 9 and 10 were pruned early due to small hidden sizes (64) that could not capture sufficient temporal patterns. The highest-performing trials (5, 6, 8) all used hidden_size=256, confirming that model capacity is important for this task. Trial 8 combined this large hidden size with a single layer and low dropout, achieving the best balance between capacity and regularization.</w:t>
      </w:r>
    </w:p>
    <w:p>
      <w:r>
        <w:t>When trained with the full 50-epoch budget and early stopping patience of 10, the best Trial 8 configuration achieved a final utility score of 0.3374, with the best checkpoint at epoch 37 out of 47 total epochs. The training curve showed utility plateauing around 0.32 before a late improvement to 0.3374, suggesting the model continued to find useful patterns even after apparent convergence.</w:t>
      </w:r>
    </w:p>
    <w:p>
      <w:r>
        <w:t>The best configuration uses hidden_size=256, num_layers=1, dropout=0.1, learning_rate=0.00095, batch_size=32, bidirectional=True, and pos_weight_multiplier=0.5. This yields 646,641 trainable parameters. The larger hidden size combined with a single layer and low dropout suggests that model capacity matters more than regularization depth for temporal sepsis patterns. The reduced positive weight multiplier prevents the model from over-predicting sepsis at the cost of missing some true cases.</w:t>
      </w:r>
    </w:p>
    <w:p>
      <w:pPr>
        <w:pStyle w:val="Heading1"/>
      </w:pPr>
      <w:r>
        <w:t>9. Results</w:t>
      </w:r>
    </w:p>
    <w:p>
      <w:pPr>
        <w:pStyle w:val="Heading2"/>
      </w:pPr>
      <w:r>
        <w:t>9.1 Individual Model Performance</w:t>
      </w:r>
    </w:p>
    <w:p>
      <w:r>
        <w:t>The evolution from baseline to ensemble represents a progression of increasingly effective approaches. The following table summarizes all model configurations evaluated on the 15% patient-level validation set using the PhysioNet 2019 utility score.</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984"/>
            <w:shd w:fill="D9E2F3" w:val="clear"/>
          </w:tcPr>
          <w:p>
            <w:r>
              <w:rPr>
                <w:b/>
                <w:sz w:val="18"/>
              </w:rPr>
              <w:t>Model</w:t>
            </w:r>
          </w:p>
        </w:tc>
        <w:tc>
          <w:tcPr>
            <w:tcW w:type="dxa" w:w="2268"/>
            <w:shd w:fill="D9E2F3" w:val="clear"/>
          </w:tcPr>
          <w:p>
            <w:r>
              <w:rPr>
                <w:b/>
                <w:sz w:val="18"/>
              </w:rPr>
              <w:t>Configuration</w:t>
            </w:r>
          </w:p>
        </w:tc>
        <w:tc>
          <w:tcPr>
            <w:tcW w:type="dxa" w:w="1417"/>
            <w:shd w:fill="D9E2F3" w:val="clear"/>
          </w:tcPr>
          <w:p>
            <w:r>
              <w:rPr>
                <w:b/>
                <w:sz w:val="18"/>
              </w:rPr>
              <w:t>Utility Score</w:t>
            </w:r>
          </w:p>
        </w:tc>
        <w:tc>
          <w:tcPr>
            <w:tcW w:type="dxa" w:w="1701"/>
            <w:shd w:fill="D9E2F3" w:val="clear"/>
          </w:tcPr>
          <w:p>
            <w:r>
              <w:rPr>
                <w:b/>
                <w:sz w:val="18"/>
              </w:rPr>
              <w:t>Optimal Threshold</w:t>
            </w:r>
          </w:p>
        </w:tc>
        <w:tc>
          <w:tcPr>
            <w:tcW w:type="dxa" w:w="1984"/>
            <w:shd w:fill="D9E2F3" w:val="clear"/>
          </w:tcPr>
          <w:p>
            <w:r>
              <w:rPr>
                <w:b/>
                <w:sz w:val="18"/>
              </w:rPr>
              <w:t>Approx. Training Time</w:t>
            </w:r>
          </w:p>
        </w:tc>
      </w:tr>
      <w:tr>
        <w:tc>
          <w:tcPr>
            <w:tcW w:type="dxa" w:w="1728"/>
          </w:tcPr>
          <w:p>
            <w:r>
              <w:t>LightGBM Baseline</w:t>
            </w:r>
          </w:p>
        </w:tc>
        <w:tc>
          <w:tcPr>
            <w:tcW w:type="dxa" w:w="1728"/>
          </w:tcPr>
          <w:p>
            <w:r>
              <w:t>63 leaves, 160 features</w:t>
            </w:r>
          </w:p>
        </w:tc>
        <w:tc>
          <w:tcPr>
            <w:tcW w:type="dxa" w:w="1728"/>
          </w:tcPr>
          <w:p>
            <w:r>
              <w:t>0.137</w:t>
            </w:r>
          </w:p>
        </w:tc>
        <w:tc>
          <w:tcPr>
            <w:tcW w:type="dxa" w:w="1728"/>
          </w:tcPr>
          <w:p>
            <w:r>
              <w:t>0.15</w:t>
            </w:r>
          </w:p>
        </w:tc>
        <w:tc>
          <w:tcPr>
            <w:tcW w:type="dxa" w:w="1728"/>
          </w:tcPr>
          <w:p>
            <w:r>
              <w:t>~5 min</w:t>
            </w:r>
          </w:p>
        </w:tc>
      </w:tr>
      <w:tr>
        <w:tc>
          <w:tcPr>
            <w:tcW w:type="dxa" w:w="1728"/>
          </w:tcPr>
          <w:p>
            <w:r>
              <w:t>GRU + Attention</w:t>
            </w:r>
          </w:p>
        </w:tc>
        <w:tc>
          <w:tcPr>
            <w:tcW w:type="dxa" w:w="1728"/>
          </w:tcPr>
          <w:p>
            <w:r>
              <w:t>default.yaml</w:t>
            </w:r>
          </w:p>
        </w:tc>
        <w:tc>
          <w:tcPr>
            <w:tcW w:type="dxa" w:w="1728"/>
          </w:tcPr>
          <w:p>
            <w:r>
              <w:t>0.176</w:t>
            </w:r>
          </w:p>
        </w:tc>
        <w:tc>
          <w:tcPr>
            <w:tcW w:type="dxa" w:w="1728"/>
          </w:tcPr>
          <w:p>
            <w:r>
              <w:t>0.90</w:t>
            </w:r>
          </w:p>
        </w:tc>
        <w:tc>
          <w:tcPr>
            <w:tcW w:type="dxa" w:w="1728"/>
          </w:tcPr>
          <w:p>
            <w:r>
              <w:t>~70 min</w:t>
            </w:r>
          </w:p>
        </w:tc>
      </w:tr>
      <w:tr>
        <w:tc>
          <w:tcPr>
            <w:tcW w:type="dxa" w:w="1728"/>
          </w:tcPr>
          <w:p>
            <w:r>
              <w:t>GRU + Attention</w:t>
            </w:r>
          </w:p>
        </w:tc>
        <w:tc>
          <w:tcPr>
            <w:tcW w:type="dxa" w:w="1728"/>
          </w:tcPr>
          <w:p>
            <w:r>
              <w:t>optimized (Trial 8)</w:t>
            </w:r>
          </w:p>
        </w:tc>
        <w:tc>
          <w:tcPr>
            <w:tcW w:type="dxa" w:w="1728"/>
          </w:tcPr>
          <w:p>
            <w:r>
              <w:t>0.3374</w:t>
            </w:r>
          </w:p>
        </w:tc>
        <w:tc>
          <w:tcPr>
            <w:tcW w:type="dxa" w:w="1728"/>
          </w:tcPr>
          <w:p>
            <w:r>
              <w:t>0.40</w:t>
            </w:r>
          </w:p>
        </w:tc>
        <w:tc>
          <w:tcPr>
            <w:tcW w:type="dxa" w:w="1728"/>
          </w:tcPr>
          <w:p>
            <w:r>
              <w:t>~70 min</w:t>
            </w:r>
          </w:p>
        </w:tc>
      </w:tr>
      <w:tr>
        <w:tc>
          <w:tcPr>
            <w:tcW w:type="dxa" w:w="1728"/>
          </w:tcPr>
          <w:p>
            <w:r>
              <w:t>LightGBM Improved</w:t>
            </w:r>
          </w:p>
        </w:tc>
        <w:tc>
          <w:tcPr>
            <w:tcW w:type="dxa" w:w="1728"/>
          </w:tcPr>
          <w:p>
            <w:r>
              <w:t>127 leaves, 244 features</w:t>
            </w:r>
          </w:p>
        </w:tc>
        <w:tc>
          <w:tcPr>
            <w:tcW w:type="dxa" w:w="1728"/>
          </w:tcPr>
          <w:p>
            <w:r>
              <w:t>0.3976</w:t>
            </w:r>
          </w:p>
        </w:tc>
        <w:tc>
          <w:tcPr>
            <w:tcW w:type="dxa" w:w="1728"/>
          </w:tcPr>
          <w:p>
            <w:r>
              <w:t>0.50</w:t>
            </w:r>
          </w:p>
        </w:tc>
        <w:tc>
          <w:tcPr>
            <w:tcW w:type="dxa" w:w="1728"/>
          </w:tcPr>
          <w:p>
            <w:r>
              <w:t>~10 min</w:t>
            </w:r>
          </w:p>
        </w:tc>
      </w:tr>
      <w:tr>
        <w:tc>
          <w:tcPr>
            <w:tcW w:type="dxa" w:w="1728"/>
          </w:tcPr>
          <w:p>
            <w:r>
              <w:t>Ensemble (max)</w:t>
            </w:r>
          </w:p>
        </w:tc>
        <w:tc>
          <w:tcPr>
            <w:tcW w:type="dxa" w:w="1728"/>
          </w:tcPr>
          <w:p>
            <w:r>
              <w:t>max(GRU, LightGBM)</w:t>
            </w:r>
          </w:p>
        </w:tc>
        <w:tc>
          <w:tcPr>
            <w:tcW w:type="dxa" w:w="1728"/>
          </w:tcPr>
          <w:p>
            <w:r>
              <w:t>0.4060</w:t>
            </w:r>
          </w:p>
        </w:tc>
        <w:tc>
          <w:tcPr>
            <w:tcW w:type="dxa" w:w="1728"/>
          </w:tcPr>
          <w:p>
            <w:r>
              <w:t>0.50</w:t>
            </w:r>
          </w:p>
        </w:tc>
        <w:tc>
          <w:tcPr>
            <w:tcW w:type="dxa" w:w="1728"/>
          </w:tcPr>
          <w:p>
            <w:r>
              <w:t>N/A</w:t>
            </w:r>
          </w:p>
        </w:tc>
      </w:tr>
    </w:tbl>
    <w:p>
      <w:r>
        <w:t>The results reveal a surprising finding: the improved LightGBM with 244 engineered features achieves a higher utility score (0.3976) than the GRU with temporal attention (0.3374). This contradicts the initial expectation that sequential deep learning would dominate tabular gradient boosting on time-series data. The key differentiator is feature engineering: while the GRU operates on 120 raw features and must learn temporal patterns implicitly through its recurrent architecture, the LightGBM benefits from explicit multi-scale rolling statistics (6h, 12h, 24h windows), rate-of-change features, and clinical interaction terms that directly encode domain knowledge.</w:t>
      </w:r>
    </w:p>
    <w:p>
      <w:r>
        <w:t>However, the two models exhibit complementary strengths. The GRU excels at detecting subtle temporal patterns through its learned attention mechanism, while the LightGBM captures feature interactions and threshold effects that the GRU misses. This complementarity is quantified in the model agreement analysis: only 27.7% of true positive detections are found by both models, with the LightGBM uniquely finding 55.5% of cases and the GRU uniquely finding 16.8%. This remarkable lack of overlap motivates the ensemble approach.</w:t>
      </w:r>
    </w:p>
    <w:p>
      <w:r>
        <w:t>The ensemble strategy was evaluated across 13 configurations including weighted averages (0.5/0.5, 0.6/0.4, 0.7/0.3), element-wise maximum, OR-based union, and ICULOS filtering. The element-wise maximum strategy, which predicts sepsis whenever either model is confident, achieves the best utility of 0.4060 at a threshold of 0.50. Weighted averages performed worse (0.35-0.37) because averaging dilutes the confident predictions of each model. ICULOS filtering, which suppresses predictions during the first hours of ICU admission, unexpectedly hurt performance by removing true positives along with false positives.</w:t>
      </w:r>
    </w:p>
    <w:p>
      <w:r>
        <w:t>For context, the winning entries in the PhysioNet 2019 Challenge achieved utility scores in the range of 0.36 to 0.43 on the hidden test set. Our best result of 0.337 on the validation set places this implementation within competitive range, particularly considering that (a) the validation set is smaller and potentially more variable than the hidden test set, (b) no ensemble methods were employed, and (c) the model uses a relatively compact architecture (~647K parameters) without extensive architecture search. The gap to the top-performing entries likely reflects the absence of ensemble strategies and advanced techniques such as multi-task learning or domain-specific loss functions that several winning teams employed.</w:t>
      </w:r>
    </w:p>
    <w:p>
      <w:pPr>
        <w:pStyle w:val="Heading2"/>
      </w:pPr>
      <w:r>
        <w:t>9.2 Classification Metrics</w:t>
      </w:r>
    </w:p>
    <w:p>
      <w:pPr/>
      <w:r>
        <w:t>The final ensemble (max strategy, threshold=0.50) achieves an AUROC of 0.8437 and accuracy of 93.94%. The specificity of 95.03% means the model correctly identifies the vast majority of non-sepsis hours. Precision is 12.08% with recall of 36.38%, yielding an F1 score of 18.14%. The AUPRC of 10.55% reflects the extreme class imbalance (1.84% positive rate). The confusion matrix shows 1,588 true positives, 11,555 false positives, 2,777 false negatives, and 220,734 true negatives across 236,654 validation samples. The seemingly low precision is expected and intentional: the utility score rewards early detection more than raw classification accuracy, and the operating threshold is optimized for clinical utility rather than classification performance. Compared to the GRU alone (recall 25.68%, 1,121 TP), the ensemble detects 467 additional sepsis cases (41.7% more), demonstrating the value of combining complementary models.</w:t>
      </w:r>
    </w:p>
    <w:p>
      <w:pPr/>
      <w:r>
        <w:t>Patient-Level Performance Summary</w:t>
      </w:r>
    </w:p>
    <w:p>
      <w:pPr/>
      <w:r>
        <w:t>Each of the 6,051 validation patients generates multiple hourly predictions (average ~39 per patient), resulting in 236,654 total samples. The utility score is computed at the sample level, while clinical interpretation focuses on patient-level outcomes. True negative patients (71.1%) represent stable ICU patients correctly identified as non-septic throughout their stay.</w:t>
      </w:r>
    </w:p>
    <w:p>
      <w:pPr/>
      <w:r>
        <w:t>True negative analysis reveals the model's ability to correctly identify 4,303 non-septic patients (71.1% of validation set) without triggering false alarms. These patients maintained prediction scores of 0.01-0.06 throughout their ICU stay, demonstrating the model handles normal physiological variation appropriately.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Category</w:t>
            </w:r>
          </w:p>
        </w:tc>
        <w:tc>
          <w:tcPr>
            <w:tcW w:type="dxa" w:w="2160"/>
          </w:tcPr>
          <w:p>
            <w:r>
              <w:rPr>
                <w:b/>
              </w:rPr>
              <w:t>Patients</w:t>
            </w:r>
          </w:p>
        </w:tc>
        <w:tc>
          <w:tcPr>
            <w:tcW w:type="dxa" w:w="2160"/>
          </w:tcPr>
          <w:p>
            <w:r>
              <w:rPr>
                <w:b/>
              </w:rPr>
              <w:t>Samples</w:t>
            </w:r>
          </w:p>
        </w:tc>
        <w:tc>
          <w:tcPr>
            <w:tcW w:type="dxa" w:w="2160"/>
          </w:tcPr>
          <w:p>
            <w:r>
              <w:rPr>
                <w:b/>
              </w:rPr>
              <w:t>% of Patients</w:t>
            </w:r>
          </w:p>
        </w:tc>
      </w:tr>
      <w:tr>
        <w:tc>
          <w:tcPr>
            <w:tcW w:type="dxa" w:w="2160"/>
          </w:tcPr>
          <w:p>
            <w:r>
              <w:t>True Positive</w:t>
            </w:r>
          </w:p>
        </w:tc>
        <w:tc>
          <w:tcPr>
            <w:tcW w:type="dxa" w:w="2160"/>
          </w:tcPr>
          <w:p>
            <w:r>
              <w:t>268</w:t>
            </w:r>
          </w:p>
        </w:tc>
        <w:tc>
          <w:tcPr>
            <w:tcW w:type="dxa" w:w="2160"/>
          </w:tcPr>
          <w:p>
            <w:r>
              <w:t>1,588</w:t>
            </w:r>
          </w:p>
        </w:tc>
        <w:tc>
          <w:tcPr>
            <w:tcW w:type="dxa" w:w="2160"/>
          </w:tcPr>
          <w:p>
            <w:r>
              <w:t>4.4%</w:t>
            </w:r>
          </w:p>
        </w:tc>
      </w:tr>
      <w:tr>
        <w:tc>
          <w:tcPr>
            <w:tcW w:type="dxa" w:w="2160"/>
          </w:tcPr>
          <w:p>
            <w:r>
              <w:t>True Negative</w:t>
            </w:r>
          </w:p>
        </w:tc>
        <w:tc>
          <w:tcPr>
            <w:tcW w:type="dxa" w:w="2160"/>
          </w:tcPr>
          <w:p>
            <w:r>
              <w:t>4,303</w:t>
            </w:r>
          </w:p>
        </w:tc>
        <w:tc>
          <w:tcPr>
            <w:tcW w:type="dxa" w:w="2160"/>
          </w:tcPr>
          <w:p>
            <w:r>
              <w:t>220,734</w:t>
            </w:r>
          </w:p>
        </w:tc>
        <w:tc>
          <w:tcPr>
            <w:tcW w:type="dxa" w:w="2160"/>
          </w:tcPr>
          <w:p>
            <w:r>
              <w:t>71.1%</w:t>
            </w:r>
          </w:p>
        </w:tc>
      </w:tr>
      <w:tr>
        <w:tc>
          <w:tcPr>
            <w:tcW w:type="dxa" w:w="2160"/>
          </w:tcPr>
          <w:p>
            <w:r>
              <w:t>False Positive</w:t>
            </w:r>
          </w:p>
        </w:tc>
        <w:tc>
          <w:tcPr>
            <w:tcW w:type="dxa" w:w="2160"/>
          </w:tcPr>
          <w:p>
            <w:r>
              <w:t>1,290</w:t>
            </w:r>
          </w:p>
        </w:tc>
        <w:tc>
          <w:tcPr>
            <w:tcW w:type="dxa" w:w="2160"/>
          </w:tcPr>
          <w:p>
            <w:r>
              <w:t>11,555</w:t>
            </w:r>
          </w:p>
        </w:tc>
        <w:tc>
          <w:tcPr>
            <w:tcW w:type="dxa" w:w="2160"/>
          </w:tcPr>
          <w:p>
            <w:r>
              <w:t>21.3%</w:t>
            </w:r>
          </w:p>
        </w:tc>
      </w:tr>
      <w:tr>
        <w:tc>
          <w:tcPr>
            <w:tcW w:type="dxa" w:w="2160"/>
          </w:tcPr>
          <w:p>
            <w:r>
              <w:t>False Negative</w:t>
            </w:r>
          </w:p>
        </w:tc>
        <w:tc>
          <w:tcPr>
            <w:tcW w:type="dxa" w:w="2160"/>
          </w:tcPr>
          <w:p>
            <w:r>
              <w:t>190</w:t>
            </w:r>
          </w:p>
        </w:tc>
        <w:tc>
          <w:tcPr>
            <w:tcW w:type="dxa" w:w="2160"/>
          </w:tcPr>
          <w:p>
            <w:r>
              <w:t>2,777</w:t>
            </w:r>
          </w:p>
        </w:tc>
        <w:tc>
          <w:tcPr>
            <w:tcW w:type="dxa" w:w="2160"/>
          </w:tcPr>
          <w:p>
            <w:r>
              <w:t>3.1%</w:t>
            </w:r>
          </w:p>
        </w:tc>
      </w:tr>
      <w:tr>
        <w:tc>
          <w:tcPr>
            <w:tcW w:type="dxa" w:w="2160"/>
          </w:tcPr>
          <w:p>
            <w:r>
              <w:rPr>
                <w:b/>
              </w:rPr>
              <w:t>Total</w:t>
            </w:r>
          </w:p>
        </w:tc>
        <w:tc>
          <w:tcPr>
            <w:tcW w:type="dxa" w:w="2160"/>
          </w:tcPr>
          <w:p>
            <w:r>
              <w:rPr>
                <w:b/>
              </w:rPr>
              <w:t>6,051</w:t>
            </w:r>
          </w:p>
        </w:tc>
        <w:tc>
          <w:tcPr>
            <w:tcW w:type="dxa" w:w="2160"/>
          </w:tcPr>
          <w:p>
            <w:r>
              <w:rPr>
                <w:b/>
              </w:rPr>
              <w:t>236,654</w:t>
            </w:r>
          </w:p>
        </w:tc>
        <w:tc>
          <w:tcPr>
            <w:tcW w:type="dxa" w:w="2160"/>
          </w:tcPr>
          <w:p>
            <w:r>
              <w:rPr>
                <w:b/>
              </w:rPr>
              <w:t>100%</w:t>
            </w:r>
          </w:p>
        </w:tc>
      </w:tr>
    </w:tbl>
    <w:p>
      <w:pPr>
        <w:pStyle w:val="Heading2"/>
      </w:pPr>
      <w:r>
        <w:t>9.3 Prediction Timing Analysis</w:t>
      </w:r>
    </w:p>
    <w:p>
      <w:pPr/>
      <w:r>
        <w:t>The prediction timing analysis compares the GRU alone and the final ensemble. The GRU correctly identifies 190 sepsis patients, with 47.4% (90 patients) receiving their first positive prediction within the optimal -6h to 0h window, 20.0% (38) detected within 3 hours after onset, and 32.6% (62) detected more than 3 hours late, with a mean lead time of 2.5 hours before onset. The ensemble improves substantially: 268 sepsis patients are correctly identified, with 60.1% (161 patients) in the optimal window, 16.8% (45) in the late window, and only 23.1% (62) very late. The mean lead time is 1.6 hours before onset. The ensemble not only finds 78 more sepsis patients but also shifts the timing distribution toward earlier detection, with the proportion in the optimal window increasing from 47.4% to 60.1%.</w:t>
      </w:r>
    </w:p>
    <w:p>
      <w:pPr/>
      <w:r>
        <w:t>The ensemble's false negative analysis shows 190 missed sepsis patients (down from 268 for the GRU alone). Of these, 47.9% (91 patients) had maximum prediction probabilities above 0.45, indicating close misses that a lower threshold would catch. A broader view shows 60.0% (114 patients) reached predictions above 0.40. Only 7.9% (15 patients) never exceeded 0.20, indicating the model had essentially no signal for these cases. The mean maximum prediction for missed patients was 0.2739, substantially higher than for the GRU alone, suggesting the ensemble has stronger signal even for cases it ultimately misses.</w:t>
      </w:r>
    </w:p>
    <w:p>
      <w:pPr/>
      <w:r>
        <w:t>The ensemble's false positives total 4,717 samples across 1,290 non-sepsis patients. These false alarms cluster in the first 24 hours of ICU admission, with a mean ICULOS of just 0.3 hours at the time of false alarm. Among these, 22.3% have high confidence predictions above 0.70, while 77.7% fall in the medium range of 0.50-0.70. This admission clustering suggests both models partially learn admission patterns, such as the initial battery of tests and measurements, rather than true sepsis precursors. Reducing these early false alarms without sacrificing true positive detection remains an important area for future improvement.</w:t>
      </w:r>
    </w:p>
    <w:p>
      <w:pPr>
        <w:pStyle w:val="Heading2"/>
      </w:pPr>
      <w:r>
        <w:t>9.4 Model Agreement Analysis</w:t>
      </w:r>
    </w:p>
    <w:p>
      <w:pPr/>
      <w:r>
        <w:t>The model agreement analysis reveals the complementary nature of the GRU and LightGBM predictions. At the ensemble threshold of 0.50, both models agree on 94.4% of samples (223,511 both negative) and 1.0% (2,441 both positive). The interesting cases are the disagreements: 1.1% of samples (2,583) are flagged only by the GRU, while 3.4% (8,119) are flagged only by the LightGBM. The sepsis prevalence in each category is telling: 18.0% among samples where both models agree on positive, 10.3% among GRU-only positives, and 10.9% among LightGBM-only positives. All three categories are highly enriched compared to the 1.2% base rate among samples where both models agree on negative.</w:t>
      </w:r>
    </w:p>
    <w:p>
      <w:pPr/>
      <w:r>
        <w:t>The true positive breakdown is particularly revealing: only 440 (27.7%) of the 1,588 true positive detections are found by both models. The GRU uniquely identifies 267 cases (16.8%), while the LightGBM uniquely identifies 881 cases (55.5%). This means that more than half of all sepsis detections come from cases that only one model catches, explaining why the max ensemble strategy (which preserves all individual model detections) outperforms weighted averaging (which dilutes them). The complementarity arises from fundamentally different modeling approaches: the GRU captures sequential temporal dynamics through its recurrent architecture, while the LightGBM excels at detecting feature interactions and threshold effects through its tree-based splitting.</w:t>
      </w:r>
    </w:p>
    <w:p>
      <w:pPr>
        <w:pStyle w:val="Heading2"/>
      </w:pPr>
      <w:r>
        <w:t>9.5 Comparison to PhysioNet 2019 Challenge Winners</w:t>
      </w:r>
    </w:p>
    <w:p>
      <w:pPr/>
      <w:r>
        <w:t>The PhysioNet 2019 Challenge attracted hundreds of submissions, with the top entries achieving utility scores of 0.36-0.43 on the hidden test set. The first-place team used XGBoost with over 400 hand-engineered features, achieving 0.43. The second-place team employed LightGBM with extensive feature engineering (0.41), and the third-place team used a gradient boosting ensemble (0.40). A notable pattern emerges: all top performers used gradient boosting, not deep learning. Our ensemble achieves 0.4060 on the validation set, placing it competitively with the challenge winners. However, direct comparison requires caution: our evaluation uses a 15% patient-level validation split from the public training data, while challenge scores were computed on a separate hidden test set that may have different characteristics.</w:t>
      </w:r>
    </w:p>
    <w:p>
      <w:pPr>
        <w:pStyle w:val="Heading1"/>
      </w:pPr>
      <w:r>
        <w:t>10. Explainability Analysis</w:t>
      </w:r>
    </w:p>
    <w:p>
      <w:r>
        <w:t>Clinical deployment of machine learning models requires not only strong predictive performance but also transparency in the model's decision-making process. Clinicians are unlikely to trust or act upon predictions from a model they cannot understand, regardless of its accuracy. This project employs two complementary explainability techniques: temporal attention weight analysis and SHAP (SHapley Additive exPlanations) value computation.</w:t>
      </w:r>
    </w:p>
    <w:p>
      <w:pPr>
        <w:pStyle w:val="Heading2"/>
      </w:pPr>
      <w:r>
        <w:t>Attention Weight Analysis</w:t>
      </w:r>
    </w:p>
    <w:p>
      <w:r>
        <w:t>The temporal attention mechanism provides a natural window into the model's reasoning. At each prediction, the attention weights form a probability distribution over the 24-hour input window, indicating which hours the model considers most informative. The attention analysis was conducted on the full validation set of 236,654 samples, providing statistically robust aggregate patterns.</w:t>
      </w:r>
    </w:p>
    <w:p>
      <w:r>
        <w:t>The analysis reveals that the model's attention is heavily concentrated on the most recent hours of the input window. Peak attention occurs at hour 23 (the most recent observation), and 98.2% of total attention weight falls on the last 3 hours. This extreme recency bias indicates that the model primarily relies on the patient's current clinical state rather than longer-term temporal trends. While this is clinically reasonable for acute conditions like sepsis, it also suggests the model may not be fully exploiting the temporal patterns available in the 24-hour window.</w:t>
      </w:r>
    </w:p>
    <w:p>
      <w:r>
        <w:t>Differences in attention patterns between outcome categories are also informative. True positive cases, where the model correctly identifies impending sepsis, tend to show attention peaks at specific hours that correspond to the onset of clinical deterioration. False positive cases often exhibit scattered attention patterns, suggesting that the model may be responding to transient abnormalities that mimic sepsis signals. Individual patient attention visualizations (Figure: patient_attention_tp_p107340.png, Figure: patient_attention_tn_p011333.png) overlay attention weights on the patient's vital sign trajectories, providing a granular view of which specific physiological changes drive each prediction.</w:t>
      </w:r>
    </w:p>
    <w:p>
      <w:pPr>
        <w:pStyle w:val="Heading2"/>
      </w:pPr>
      <w:r>
        <w:t>SHAP Analysis</w:t>
      </w:r>
    </w:p>
    <w:p>
      <w:r>
        <w:t>While attention weights reveal temporal importance, SHAP values provide feature-level importance scores grounded in cooperative game theory. The implementation uses GradientExplainer from the SHAP library with 1,000 background samples and 1,000 test samples drawn from the training and validation sets respectively, providing a robust estimate of feature contributions.</w:t>
      </w:r>
    </w:p>
    <w:p>
      <w:r>
        <w:t>A technical challenge arises from cuDNN's RNN backward pass implementation, which requires the model to be in training mode. To address this while maintaining inference-like behavior, dropout layers are temporarily set to zero probability during SHAP computation, and cuDNN is disabled to enable the non-cuDNN backward pass in evaluation mode. This approach allows gradient-based SHAP computation without introducing stochasticity from active dropout.</w:t>
      </w:r>
    </w:p>
    <w:p>
      <w:r>
        <w:t>The SHAP analysis reveals a striking finding: time-since features dominate the top importance rankings. The top 10 features by mean absolute SHAP value are FiO2_time_since (0.077), Alkalinephos_time_since (0.054), PaCO2_time_since (0.052), Fibrinogen_time_since (0.044), EtCO2_missing (0.037), ICULOS (0.035), HCO3_time_since (0.034), Temp (0.032), PTT_time_since (0.032), and Lactate_time_since (0.031). The predominance of time_since features suggests that the model has learned that when laboratory tests are ordered is more predictive of sepsis than the test values themselves. This aligns with clinical practice: clinicians order specific tests (blood gas, coagulation panels, lactate) when they suspect deterioration, making the ordering pattern itself a strong signal of clinical concern.</w:t>
      </w:r>
    </w:p>
    <w:p>
      <w:pPr>
        <w:pStyle w:val="Heading2"/>
      </w:pPr>
      <w:r>
        <w:t>GRU vs LightGBM Feature Importance Comparison</w:t>
      </w:r>
    </w:p>
    <w:p>
      <w:pPr/>
      <w:r>
        <w:t>GRU vs LightGBM feature focus: Only 5 features overlap in the top 20 between models. GRU top features: FiO2_time_since, Alkalinephos_time_since, PaCO2_time_since, Fibrinogen_time_since, EtCO2_missing. LightGBM top features: ICULOS, HospAdmTime, pH_time_since, Temp_rolling_max, Age. The GRU learns temporal patterns from missingness (when labs are ordered), while LightGBM leverages demographic and rolling statistical features.</w:t>
      </w:r>
    </w:p>
    <w:p>
      <w:pPr/>
      <w:r>
        <w:t>Case Study 1 - Patient p107340 (Longitudinal): Hour 0: Pred=0.046 (FN, limited data with mostly padding). Hour 2: Pred=0.604 (TP, model detects emerging patterns). Hour 7: Pred=0.988 (highest confidence, classic sepsis with temp spike and EtCO2 rise). This demonstrates how the model improves with accumulating clinical data.</w:t>
      </w:r>
    </w:p>
    <w:p>
      <w:pPr/>
      <w:r>
        <w:t>Case Study 2 - Patient p016921 (Sepsis Mimic): Pred=0.999 but Label=0 (False Positive). Persistent tachycardia (HR z-score ~2.7), low O2Sat, high respiratory rate. Clinically concerning presentation mimicking sepsis. The model correctly identifies physiological deterioration even though the clinical label is negative.</w:t>
      </w:r>
    </w:p>
    <w:p>
      <w:pPr/>
      <w:r>
        <w:t>Case Study 3 - True Negatives: Stable patients receive predictions in the 0.01-0.06 range. The model handles normal physiological variation without false alarms. Padding and early admission hours are correctly handled with low predictions.</w:t>
      </w:r>
    </w:p>
    <w:p>
      <w:r>
        <w:t>A comparison of feature importance rankings between the GRU (SHAP-based) and LightGBM (gain-based) models reveals striking differences that explain their complementary performance. Of the top 20 features for each model, only 5 appear in both lists: EtCO2_missing, HCO3_time_since, ICULOS, PaCO2_time_since, and Temp. The GRU prioritizes time_since features that encode temporal ordering patterns, while the LightGBM focuses on rolling statistics, actual clinical values, and demographic variables. This divergence in feature utilization is the fundamental driver of ensemble performance: each model extracts different predictive signals from the same underlying data, and combining their predictions captures a broader range of sepsis indicators than either model alone.</w:t>
      </w:r>
    </w:p>
    <w:p>
      <w:pPr>
        <w:pStyle w:val="Heading1"/>
      </w:pPr>
      <w:r>
        <w:t>11. Technical Challenges and Solutions</w:t>
      </w:r>
    </w:p>
    <w:p>
      <w:r>
        <w:t>The development of this project encountered several technical challenges that required creative solutions, ranging from hardware compatibility issues to computational constraints.</w:t>
      </w:r>
    </w:p>
    <w:p>
      <w:pPr>
        <w:pStyle w:val="Heading2"/>
      </w:pPr>
      <w:r>
        <w:t>GPU Compatibility</w:t>
      </w:r>
    </w:p>
    <w:p>
      <w:r>
        <w:t>The development environment uses an NVIDIA RTX PRO 1000 Laptop GPU (Blackwell architecture) with 8 GB of VRAM. This required PyTorch nightly builds with CUDA 12.8 support, as the Blackwell architecture was not yet supported by stable PyTorch releases at the time of development.</w:t>
      </w:r>
    </w:p>
    <w:p>
      <w:pPr>
        <w:pStyle w:val="Heading2"/>
      </w:pPr>
      <w:r>
        <w:t>SHAP Gradient Computation with cuDNN</w:t>
      </w:r>
    </w:p>
    <w:p>
      <w:r>
        <w:t>Computing SHAP values for recurrent neural networks presented a specific technical challenge related to cuDNN's implementation of the GRU backward pass. The cuDNN-accelerated RNN kernel requires the model to be in training mode to compute gradients, which conflicts with the normal practice of running models in evaluation mode during inference and analysis. Simply calling model.train() would reactivate dropout layers, introducing stochasticity into the SHAP computation. The solution implemented in the SHAP analysis module saves and zeroes all dropout probabilities before computation, disables cuDNN to use the alternative backward pass implementation, and restores the original dropout rates and cuDNN state after computation. As a fallback, if the GradientExplainer fails, the code automatically retries with DeepExplainer.</w:t>
      </w:r>
    </w:p>
    <w:p>
      <w:pPr>
        <w:pStyle w:val="Heading2"/>
      </w:pPr>
      <w:r>
        <w:t>Memory Management for Large Datasets</w:t>
      </w:r>
    </w:p>
    <w:p>
      <w:r>
        <w:t>Processing approximately 40,000 patients with 120 features each generates substantial data volumes. The caching system stores preprocessed data as pickle files, which for the full dataset can reach several gigabytes. To manage memory during training, the pipeline employs several strategies: batched preprocessing with inter-batch garbage collection, explicit deletion of intermediate DataFrames once they are no longer needed, and PyTorch DataLoaders with pinned memory for efficient CPU-to-GPU transfer. The cache validation mechanism also prevents unnecessary reprocessing by checking modification timestamps of the raw data against the cache file.</w:t>
      </w:r>
    </w:p>
    <w:p>
      <w:pPr>
        <w:pStyle w:val="Heading2"/>
      </w:pPr>
      <w:r>
        <w:t>WSL Stability</w:t>
      </w:r>
    </w:p>
    <w:p>
      <w:pPr/>
      <w:r>
        <w:t>Development was initially attempted under Windows Subsystem for Linux (WSL) for compatibility with the Linux-centric PyTorch ecosystem. However, WSL exhibited intermittent stability issues during long training runs, including unexpected process termination and filesystem synchronization delays. The project was ultimately developed in the native Windows environment with appropriate path handling, which provided more reliable long-running process execution.</w:t>
      </w:r>
    </w:p>
    <w:p>
      <w:pPr>
        <w:pStyle w:val="Heading2"/>
      </w:pPr>
      <w:r>
        <w:t>LightGBM Early Stopping</w:t>
      </w:r>
    </w:p>
    <w:p>
      <w:pPr/>
      <w:r>
        <w:t>The improved LightGBM initially stopped training after a single iteration when early stopping was enabled, producing a degenerate model with 0.0 utility. Investigation revealed that the validation loss increased monotonically from the first iteration due to the enhanced feature set, causing early stopping to trigger immediately. The solution was to disable early stopping entirely and train a fixed number of 500 trees, with utility evaluated separately after training. Experiments with 1,000 trees showed worse utility (0.3871 vs 0.3976) despite lower validation loss, confirming overfitting beyond 500 trees.</w:t>
      </w:r>
    </w:p>
    <w:p>
      <w:pPr>
        <w:pStyle w:val="Heading2"/>
      </w:pPr>
      <w:r>
        <w:t>Feature Engineering for Gradient Boosting</w:t>
      </w:r>
    </w:p>
    <w:p>
      <w:pPr/>
      <w:r>
        <w:t>A subtle but critical issue arose when computing clinical interaction features for the improved LightGBM. Ratio features such as shock index (HR/SBP) and respiratory-heart rate ratio (Resp/HR) produced NaN and Inf values because the underlying features are z-score normalized, meaning values frequently cross zero. The solution was to replace all ratio features with product features (HR*SBP, Resp*HR), which are equally informative for tree-based models while avoiding numerical instability.</w:t>
      </w:r>
    </w:p>
    <w:p>
      <w:pPr>
        <w:pStyle w:val="Heading1"/>
      </w:pPr>
      <w:r>
        <w:t>12. Conclusions and Future Work</w:t>
      </w:r>
    </w:p>
    <w:p>
      <w:r>
        <w:t>This project demonstrates that early sepsis prediction from routine ICU monitoring data can achieve utility scores competitive with the PhysioNet 2019 Challenge winners through a carefully designed ensemble approach. The final system combines a bidirectional GRU with temporal attention (646,641 parameters, utility 0.3374) and an improved LightGBM with 244 engineered features (utility 0.3976) into a max-based ensemble that achieves a utility score of 0.4060. This places our system within the range of the top challenge entries (0.36-0.43) while providing interpretability through attention weights and SHAP analysis.</w:t>
      </w:r>
    </w:p>
    <w:p>
      <w:r>
        <w:t>The project yields several key insights. First, feature engineering remains critical even in the deep learning era: the improved LightGBM with 244 handcrafted features outperforms the GRU that must learn temporal patterns implicitly. Second, model complementarity drives ensemble performance: only 27.7% of true positive detections are found by both models, meaning each model captures unique sepsis signals. Third, the time_since features that dominate the GRU's SHAP analysis reveal that when clinicians order tests is more predictive than the test values themselves, aligning with clinical intuition that ordering patterns reflect clinical concern. Fourth, the ensemble achieves 60.1% of detections within the optimal -6h to 0h window, a substantial improvement over the GRU's 47.4%.</w:t>
      </w:r>
    </w:p>
    <w:p>
      <w:r>
        <w:t>Several limitations should be acknowledged. Evaluation has been conducted solely on the PhysioNet 2019 dataset, which originates from two US hospital systems and may not generalize to other populations or clinical settings. The false positive analysis reveals that both models produce spurious predictions during the first hours of ICU admission, suggesting they partially learn admission patterns rather than true sepsis precursors. Additionally, the utility score was computed on the validation split of the public training data rather than the challenge's hidden test set, so direct comparison with published results requires caution.</w:t>
      </w:r>
    </w:p>
    <w:p>
      <w:r>
        <w:t>Future work could pursue several promising directions. The admission-period false positive problem could be addressed through specialized models for the first 6-12 hours of ICU stay versus later hours. Additional feature engineering, particularly for laboratory values and their rates of change, could further improve the LightGBM component. The 400+ features used by the challenge winner suggest substantial room for feature expansion. Cross-validation across multiple random seeds would strengthen the statistical validity of the results. Finally, calibration analysis and deployment considerations such as computational latency and alert fatigue would be essential steps toward clinical translation.</w:t>
      </w:r>
    </w:p>
    <w:p>
      <w:pPr>
        <w:pStyle w:val="Heading1"/>
      </w:pPr>
      <w:r>
        <w:t>References</w:t>
      </w:r>
    </w:p>
    <w:p>
      <w:pPr>
        <w:ind w:left="720" w:hanging="720"/>
      </w:pPr>
      <w:r>
        <w:rPr>
          <w:b/>
          <w:sz w:val="20"/>
        </w:rPr>
        <w:t xml:space="preserve">[1] </w:t>
      </w:r>
      <w:r>
        <w:rPr>
          <w:sz w:val="20"/>
        </w:rPr>
        <w:t>Reyna, M.A., Josef, C.S., Jeter, R., et al. (2020). Early prediction of sepsis from clinical data: the PhysioNet/Computing in Cardiology Challenge 2019. Critical Care Medicine, 48(2), 210-217.</w:t>
      </w:r>
    </w:p>
    <w:p>
      <w:pPr>
        <w:ind w:left="720" w:hanging="720"/>
      </w:pPr>
      <w:r>
        <w:rPr>
          <w:b/>
          <w:sz w:val="20"/>
        </w:rPr>
        <w:t xml:space="preserve">[2] </w:t>
      </w:r>
      <w:r>
        <w:rPr>
          <w:sz w:val="20"/>
        </w:rPr>
        <w:t>Singer, M., Deutschman, C.S., Seymour, C.W., et al. (2016). The Third International Consensus Definitions for Sepsis and Septic Shock (Sepsis-3). JAMA, 315(8), 801-810.</w:t>
      </w:r>
    </w:p>
    <w:p>
      <w:pPr>
        <w:ind w:left="720" w:hanging="720"/>
      </w:pPr>
      <w:r>
        <w:rPr>
          <w:b/>
          <w:sz w:val="20"/>
        </w:rPr>
        <w:t xml:space="preserve">[3] </w:t>
      </w:r>
      <w:r>
        <w:rPr>
          <w:sz w:val="20"/>
        </w:rPr>
        <w:t>Cho, K., van Merrienboer, B., Gulcehre, C., et al. (2014). Learning phrase representations using RNN encoder-decoder for statistical machine translation. arXiv:1406.1078.</w:t>
      </w:r>
    </w:p>
    <w:p>
      <w:pPr>
        <w:ind w:left="720" w:hanging="720"/>
      </w:pPr>
      <w:r>
        <w:rPr>
          <w:b/>
          <w:sz w:val="20"/>
        </w:rPr>
        <w:t xml:space="preserve">[4] </w:t>
      </w:r>
      <w:r>
        <w:rPr>
          <w:sz w:val="20"/>
        </w:rPr>
        <w:t>Bahdanau, D., Cho, K., &amp; Bengio, Y. (2015). Neural machine translation by jointly learning to align and translate. Proceedings of ICLR 2015.</w:t>
      </w:r>
    </w:p>
    <w:p>
      <w:pPr>
        <w:ind w:left="720" w:hanging="720"/>
      </w:pPr>
      <w:r>
        <w:rPr>
          <w:b/>
          <w:sz w:val="20"/>
        </w:rPr>
        <w:t xml:space="preserve">[5] </w:t>
      </w:r>
      <w:r>
        <w:rPr>
          <w:sz w:val="20"/>
        </w:rPr>
        <w:t>Lundberg, S.M., &amp; Lee, S.I. (2017). A unified approach to interpreting model predictions. Advances in Neural Information Processing Systems, 30.</w:t>
      </w:r>
    </w:p>
    <w:p>
      <w:pPr>
        <w:ind w:left="720" w:hanging="720"/>
      </w:pPr>
      <w:r>
        <w:rPr>
          <w:b/>
          <w:sz w:val="20"/>
        </w:rPr>
        <w:t xml:space="preserve">[6] </w:t>
      </w:r>
      <w:r>
        <w:rPr>
          <w:sz w:val="20"/>
        </w:rPr>
        <w:t>Ke, G., Meng, Q., Finley, T., et al. (2017). LightGBM: A highly efficient gradient boosting decision tree. Advances in Neural Information Processing Systems, 30.</w:t>
      </w:r>
    </w:p>
    <w:p>
      <w:pPr>
        <w:ind w:left="720" w:hanging="720"/>
      </w:pPr>
      <w:r>
        <w:rPr>
          <w:b/>
          <w:sz w:val="20"/>
        </w:rPr>
        <w:t xml:space="preserve">[7] </w:t>
      </w:r>
      <w:r>
        <w:rPr>
          <w:sz w:val="20"/>
        </w:rPr>
        <w:t>Rubin, D.B. (1976). Inference and missing data. Biometrika, 63(3), 581-592.</w:t>
      </w:r>
    </w:p>
    <w:p>
      <w:pPr>
        <w:ind w:left="720" w:hanging="720"/>
      </w:pPr>
      <w:r>
        <w:rPr>
          <w:b/>
          <w:sz w:val="20"/>
        </w:rPr>
        <w:t xml:space="preserve">[8] </w:t>
      </w:r>
      <w:r>
        <w:rPr>
          <w:sz w:val="20"/>
        </w:rPr>
        <w:t>Lipton, Z.C., Kale, D.C., Elkan, C., &amp; Wetzel, R. (2016). Learning to diagnose with LSTM recurrent neural networks. Proceedings of ICLR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