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ANÁLISIS DEL PRESENTE</w:t>
      </w:r>
    </w:p>
    <w:p>
      <w:pPr>
        <w:pStyle w:val="Heading1"/>
        <w:rPr/>
      </w:pPr>
      <w:r>
        <w:rPr/>
        <w:t xml:space="preserve">Panorama general</w:t>
      </w:r>
    </w:p>
    <w:p>
      <w:pPr>
        <w:pStyle w:val="normal1"/>
        <w:spacing w:before="0" w:after="160"/>
        <w:rPr/>
      </w:pPr>
      <w:r>
        <w:rPr/>
        <w:t xml:space="preserve">Este documento describe el presente mediante datos públicos y verificables. Los fenómenos económicos, demográficos, sociales, institucionales y ambientales están entrelazados y no pueden comprenderse como compartimentos estancos. El análisis se centra sobre todo en lo que no funciona, porque de ahí nace la necesidad de una alternativa; los avances no se niegan: se recogen junto a los problemas, tema por tema. Son reales y están documentados por las mismas fuentes; varios, sin embargo, se están frenando. Cada dato indica la fuente y el año de publicación. Las estimaciones y las proyecciones se señalan como tales; la última parte es una lectura de los datos, no un dato.</w:t>
      </w:r>
    </w:p>
    <w:p>
      <w:pPr>
        <w:pStyle w:val="Heading1"/>
        <w:rPr/>
      </w:pPr>
      <w:r>
        <w:rPr/>
        <w:t xml:space="preserve">Primera parte — Los datos</w:t>
      </w:r>
    </w:p>
    <w:p>
      <w:pPr>
        <w:pStyle w:val="Heading2"/>
        <w:rPr/>
      </w:pPr>
      <w:r>
        <w:rPr/>
        <w:t xml:space="preserve">1. Desigualdad, pobreza y hambre</w:t>
      </w:r>
    </w:p>
    <w:p>
      <w:pPr>
        <w:pStyle w:val="normal1"/>
        <w:numPr>
          <w:ilvl w:val="0"/>
          <w:numId w:val="1"/>
        </w:numPr>
        <w:spacing w:before="0" w:after="60"/>
        <w:rPr/>
      </w:pPr>
      <w:r>
        <w:rPr>
          <w:b/>
        </w:rPr>
        <w:t xml:space="preserve">Concentración de la riqueza</w:t>
      </w:r>
      <w:r>
        <w:rPr/>
        <w:t xml:space="preserve">: El 10% más rico de la población mundial posee alrededor del </w:t>
      </w:r>
      <w:r>
        <w:rPr>
          <w:b/>
        </w:rPr>
        <w:t xml:space="preserve">75% de la riqueza</w:t>
      </w:r>
      <w:r>
        <w:rPr/>
        <w:t xml:space="preserve">; la mitad más pobre, alrededor del 2% </w:t>
      </w:r>
      <w:r>
        <w:rPr>
          <w:color w:val="707070"/>
          <w:sz w:val="18"/>
        </w:rPr>
        <w:t xml:space="preserve">(World Inequality Report 2026)</w:t>
      </w:r>
      <w:r>
        <w:rPr/>
        <w:t xml:space="preserve">. El patrimonio de los milmillonarios alcanzó </w:t>
      </w:r>
      <w:r>
        <w:rPr>
          <w:b/>
        </w:rPr>
        <w:t xml:space="preserve">18,3 billones de dólares</w:t>
      </w:r>
      <w:r>
        <w:rPr/>
        <w:t xml:space="preserve"> en 2025: +16% en un año, +81% desde 2020 </w:t>
      </w:r>
      <w:r>
        <w:rPr>
          <w:color w:val="707070"/>
          <w:sz w:val="18"/>
        </w:rPr>
        <w:t xml:space="preserve">(Oxfam, 2026)</w:t>
      </w:r>
      <w:r>
        <w:rPr/>
        <w:t xml:space="preserve">.</w:t>
      </w:r>
    </w:p>
    <w:p>
      <w:pPr>
        <w:pStyle w:val="normal1"/>
        <w:numPr>
          <w:ilvl w:val="0"/>
          <w:numId w:val="1"/>
        </w:numPr>
        <w:spacing w:before="0" w:after="60"/>
        <w:rPr/>
      </w:pPr>
      <w:r>
        <w:rPr>
          <w:b/>
        </w:rPr>
        <w:t xml:space="preserve">Pobreza extrema</w:t>
      </w:r>
      <w:r>
        <w:rPr/>
        <w:t xml:space="preserve">: Entre 1990 y 2022 salieron de ella unos </w:t>
      </w:r>
      <w:r>
        <w:rPr>
          <w:b/>
        </w:rPr>
        <w:t xml:space="preserve">1.500 millones de personas</w:t>
      </w:r>
      <w:r>
        <w:rPr/>
        <w:t xml:space="preserve">, pero la reducción está casi detenida: en 2022, </w:t>
      </w:r>
      <w:r>
        <w:rPr>
          <w:b/>
        </w:rPr>
        <w:t xml:space="preserve">838 millones de personas</w:t>
      </w:r>
      <w:r>
        <w:rPr/>
        <w:t xml:space="preserve"> vivían todavía con menos de 3 dólares al día, el 10,5% de la población mundial, y la estimación para 2025 es del 9,9% </w:t>
      </w:r>
      <w:r>
        <w:rPr>
          <w:color w:val="707070"/>
          <w:sz w:val="18"/>
        </w:rPr>
        <w:t xml:space="preserve">(Banco Mundial, 2025)</w:t>
      </w:r>
      <w:r>
        <w:rPr/>
        <w:t xml:space="preserve">.</w:t>
      </w:r>
    </w:p>
    <w:p>
      <w:pPr>
        <w:pStyle w:val="normal1"/>
        <w:numPr>
          <w:ilvl w:val="0"/>
          <w:numId w:val="1"/>
        </w:numPr>
        <w:spacing w:before="0" w:after="60"/>
        <w:rPr/>
      </w:pPr>
      <w:r>
        <w:rPr>
          <w:b/>
        </w:rPr>
        <w:t xml:space="preserve">Hambre</w:t>
      </w:r>
      <w:r>
        <w:rPr/>
        <w:t xml:space="preserve">: En 2025 unos </w:t>
      </w:r>
      <w:r>
        <w:rPr>
          <w:b/>
        </w:rPr>
        <w:t xml:space="preserve">645 millones de personas</w:t>
      </w:r>
      <w:r>
        <w:rPr/>
        <w:t xml:space="preserve"> padecieron hambre, el </w:t>
      </w:r>
      <w:r>
        <w:rPr>
          <w:b/>
        </w:rPr>
        <w:t xml:space="preserve">7,8%</w:t>
      </w:r>
      <w:r>
        <w:rPr/>
        <w:t xml:space="preserve"> de la población: era el 8,6% en 2022 y es el tercer año consecutivo de descenso. En África la padece una de cada cinco personas. </w:t>
      </w:r>
      <w:r>
        <w:rPr>
          <w:b/>
        </w:rPr>
        <w:t xml:space="preserve">2.690 millones</w:t>
      </w:r>
      <w:r>
        <w:rPr/>
        <w:t xml:space="preserve"> no pueden permitirse una dieta saludable </w:t>
      </w:r>
      <w:r>
        <w:rPr>
          <w:color w:val="707070"/>
          <w:sz w:val="18"/>
        </w:rPr>
        <w:t xml:space="preserve">(FAO y otras agencias de la ONU, SOFI 2026)</w:t>
      </w:r>
      <w:r>
        <w:rPr/>
        <w:t xml:space="preserve">.</w:t>
      </w:r>
    </w:p>
    <w:p>
      <w:pPr>
        <w:pStyle w:val="normal1"/>
        <w:numPr>
          <w:ilvl w:val="0"/>
          <w:numId w:val="1"/>
        </w:numPr>
        <w:spacing w:before="0" w:after="160"/>
        <w:rPr/>
      </w:pPr>
      <w:r>
        <w:rPr>
          <w:b/>
        </w:rPr>
        <w:t xml:space="preserve">Vivienda</w:t>
      </w:r>
      <w:r>
        <w:rPr/>
        <w:t xml:space="preserve">: En la UE, entre 2010 y principios de 2025 los precios de la vivienda crecieron un </w:t>
      </w:r>
      <w:r>
        <w:rPr>
          <w:b/>
        </w:rPr>
        <w:t xml:space="preserve">57,9%</w:t>
      </w:r>
      <w:r>
        <w:rPr/>
        <w:t xml:space="preserve"> y los alquileres un 27,8% </w:t>
      </w:r>
      <w:r>
        <w:rPr>
          <w:color w:val="707070"/>
          <w:sz w:val="18"/>
        </w:rPr>
        <w:t xml:space="preserve">(Eurostat, 2025)</w:t>
      </w:r>
      <w:r>
        <w:rPr/>
        <w:t xml:space="preserve">. En el mundo, unos 2.800 millones de personas no tienen un alojamiento adecuado y 318 millones carecen de hogar </w:t>
      </w:r>
      <w:r>
        <w:rPr>
          <w:color w:val="707070"/>
          <w:sz w:val="18"/>
        </w:rPr>
        <w:t xml:space="preserve">(estimaciones de ONU-Hábitat, 2025)</w:t>
      </w:r>
      <w:r>
        <w:rPr/>
        <w:t xml:space="preserve">.</w:t>
      </w:r>
    </w:p>
    <w:p>
      <w:pPr>
        <w:pStyle w:val="Heading2"/>
        <w:rPr/>
      </w:pPr>
      <w:r>
        <w:rPr/>
        <w:t xml:space="preserve">2. Trabajo</w:t>
      </w:r>
    </w:p>
    <w:p>
      <w:pPr>
        <w:pStyle w:val="normal1"/>
        <w:numPr>
          <w:ilvl w:val="0"/>
          <w:numId w:val="1"/>
        </w:numPr>
        <w:spacing w:before="0" w:after="60"/>
        <w:rPr/>
      </w:pPr>
      <w:r>
        <w:rPr>
          <w:b/>
        </w:rPr>
        <w:t xml:space="preserve">Trabajo y salarios</w:t>
      </w:r>
      <w:r>
        <w:rPr/>
        <w:t xml:space="preserve">: Más de </w:t>
      </w:r>
      <w:r>
        <w:rPr>
          <w:b/>
        </w:rPr>
        <w:t xml:space="preserve">2.100 millones de trabajadores</w:t>
      </w:r>
      <w:r>
        <w:rPr/>
        <w:t xml:space="preserve"> de un total de 3.600 millones, casi el 58%, tienen un empleo informal, sin protección </w:t>
      </w:r>
      <w:r>
        <w:rPr>
          <w:color w:val="707070"/>
          <w:sz w:val="18"/>
        </w:rPr>
        <w:t xml:space="preserve">(OIT, 2026)</w:t>
      </w:r>
      <w:r>
        <w:rPr/>
        <w:t xml:space="preserve">. En los países de ingresos altos, entre 1999 y 2024 la productividad creció un 29% y los salarios reales un 15% </w:t>
      </w:r>
      <w:r>
        <w:rPr>
          <w:color w:val="707070"/>
          <w:sz w:val="18"/>
        </w:rPr>
        <w:t xml:space="preserve">(OIT, Global Wage Report 2024-25)</w:t>
      </w:r>
      <w:r>
        <w:rPr/>
        <w:t xml:space="preserve">.</w:t>
      </w:r>
    </w:p>
    <w:p>
      <w:pPr>
        <w:pStyle w:val="normal1"/>
        <w:numPr>
          <w:ilvl w:val="0"/>
          <w:numId w:val="1"/>
        </w:numPr>
        <w:spacing w:before="0" w:after="60"/>
        <w:rPr/>
      </w:pPr>
      <w:r>
        <w:rPr>
          <w:b/>
        </w:rPr>
        <w:t xml:space="preserve">Tecnología y empleo</w:t>
      </w:r>
      <w:r>
        <w:rPr/>
        <w:t xml:space="preserve">: El </w:t>
      </w:r>
      <w:r>
        <w:rPr>
          <w:b/>
        </w:rPr>
        <w:t xml:space="preserve">25% del empleo mundial</w:t>
      </w:r>
      <w:r>
        <w:rPr/>
        <w:t xml:space="preserve">, y el 34% en los países de ingresos altos, corresponde a profesiones expuestas a la IA generativa. Se espera sobre todo una transformación de las tareas: la sustitución completa sigue siendo limitada </w:t>
      </w:r>
      <w:r>
        <w:rPr>
          <w:color w:val="707070"/>
          <w:sz w:val="18"/>
        </w:rPr>
        <w:t xml:space="preserve">(estimación de la OIT, 2025)</w:t>
      </w:r>
      <w:r>
        <w:rPr/>
        <w:t xml:space="preserve">.</w:t>
      </w:r>
    </w:p>
    <w:p>
      <w:pPr>
        <w:pStyle w:val="normal1"/>
        <w:numPr>
          <w:ilvl w:val="0"/>
          <w:numId w:val="1"/>
        </w:numPr>
        <w:spacing w:before="0" w:after="160"/>
        <w:rPr/>
      </w:pPr>
      <w:r>
        <w:rPr>
          <w:b/>
        </w:rPr>
        <w:t xml:space="preserve">Explotación y trabajo infantil</w:t>
      </w:r>
      <w:r>
        <w:rPr/>
        <w:t xml:space="preserve">: En 2021, </w:t>
      </w:r>
      <w:r>
        <w:rPr>
          <w:b/>
        </w:rPr>
        <w:t xml:space="preserve">50 millones de personas</w:t>
      </w:r>
      <w:r>
        <w:rPr/>
        <w:t xml:space="preserve"> vivían en condiciones de esclavitud moderna, 10 millones más que en 2016 </w:t>
      </w:r>
      <w:r>
        <w:rPr>
          <w:color w:val="707070"/>
          <w:sz w:val="18"/>
        </w:rPr>
        <w:t xml:space="preserve">(estimación de la OIT, la OIM y Walk Free, 2022)</w:t>
      </w:r>
      <w:r>
        <w:rPr/>
        <w:t xml:space="preserve">. En 2024 trabajaban </w:t>
      </w:r>
      <w:r>
        <w:rPr>
          <w:b/>
        </w:rPr>
        <w:t xml:space="preserve">138 millones de niños</w:t>
      </w:r>
      <w:r>
        <w:rPr/>
        <w:t xml:space="preserve">, 54 millones de ellos en actividades peligrosas: más de </w:t>
      </w:r>
      <w:r>
        <w:rPr>
          <w:b/>
        </w:rPr>
        <w:t xml:space="preserve">20 millones menos</w:t>
      </w:r>
      <w:r>
        <w:rPr/>
        <w:t xml:space="preserve"> que en 2020 </w:t>
      </w:r>
      <w:r>
        <w:rPr>
          <w:color w:val="707070"/>
          <w:sz w:val="18"/>
        </w:rPr>
        <w:t xml:space="preserve">(OIT y UNICEF, 2025)</w:t>
      </w:r>
      <w:r>
        <w:rPr/>
        <w:t xml:space="preserve">.</w:t>
      </w:r>
    </w:p>
    <w:p>
      <w:pPr>
        <w:pStyle w:val="Heading2"/>
        <w:rPr/>
      </w:pPr>
      <w:r>
        <w:rPr/>
        <w:t xml:space="preserve">3. Población, salud y educación</w:t>
      </w:r>
    </w:p>
    <w:p>
      <w:pPr>
        <w:pStyle w:val="normal1"/>
        <w:numPr>
          <w:ilvl w:val="0"/>
          <w:numId w:val="1"/>
        </w:numPr>
        <w:spacing w:before="0" w:after="60"/>
        <w:rPr/>
      </w:pPr>
      <w:r>
        <w:rPr>
          <w:b/>
        </w:rPr>
        <w:t xml:space="preserve">Población</w:t>
      </w:r>
      <w:r>
        <w:rPr/>
        <w:t xml:space="preserve">: 8.200 millones de personas en 2024; máximo previsto de unos </w:t>
      </w:r>
      <w:r>
        <w:rPr>
          <w:b/>
        </w:rPr>
        <w:t xml:space="preserve">10.300 millones</w:t>
      </w:r>
      <w:r>
        <w:rPr/>
        <w:t xml:space="preserve"> a mediados de la década de 2080 </w:t>
      </w:r>
      <w:r>
        <w:rPr>
          <w:color w:val="707070"/>
          <w:sz w:val="18"/>
        </w:rPr>
        <w:t xml:space="preserve">(proyección de la ONU, World Population Prospects 2024)</w:t>
      </w:r>
      <w:r>
        <w:rPr/>
        <w:t xml:space="preserve">. En los países de la OCDE, las personas mayores de 65 años por cada 100 en edad de trabajar pasarán de </w:t>
      </w:r>
      <w:r>
        <w:rPr>
          <w:b/>
        </w:rPr>
        <w:t xml:space="preserve">33 en 2025 a 52 en 2050</w:t>
      </w:r>
      <w:r>
        <w:rPr/>
        <w:t xml:space="preserve">, lo que someterá a presión las pensiones y el Estado de bienestar </w:t>
      </w:r>
      <w:r>
        <w:rPr>
          <w:color w:val="707070"/>
          <w:sz w:val="18"/>
        </w:rPr>
        <w:t xml:space="preserve">(proyección de la OCDE, Pensions at a Glance 2025)</w:t>
      </w:r>
      <w:r>
        <w:rPr/>
        <w:t xml:space="preserve">.</w:t>
      </w:r>
    </w:p>
    <w:p>
      <w:pPr>
        <w:pStyle w:val="normal1"/>
        <w:numPr>
          <w:ilvl w:val="0"/>
          <w:numId w:val="1"/>
        </w:numPr>
        <w:spacing w:before="0" w:after="60"/>
        <w:rPr/>
      </w:pPr>
      <w:r>
        <w:rPr>
          <w:b/>
        </w:rPr>
        <w:t xml:space="preserve">Esperanza de vida</w:t>
      </w:r>
      <w:r>
        <w:rPr/>
        <w:t xml:space="preserve">: </w:t>
      </w:r>
      <w:r>
        <w:rPr>
          <w:b/>
        </w:rPr>
        <w:t xml:space="preserve">73,3 años</w:t>
      </w:r>
      <w:r>
        <w:rPr/>
        <w:t xml:space="preserve"> en 2024, tras el descenso a 70,9 durante la pandemia </w:t>
      </w:r>
      <w:r>
        <w:rPr>
          <w:color w:val="707070"/>
          <w:sz w:val="18"/>
        </w:rPr>
        <w:t xml:space="preserve">(ONU, World Population Prospects 2024)</w:t>
      </w:r>
      <w:r>
        <w:rPr/>
        <w:t xml:space="preserve">.</w:t>
      </w:r>
    </w:p>
    <w:p>
      <w:pPr>
        <w:pStyle w:val="normal1"/>
        <w:numPr>
          <w:ilvl w:val="0"/>
          <w:numId w:val="1"/>
        </w:numPr>
        <w:spacing w:before="0" w:after="60"/>
        <w:rPr/>
      </w:pPr>
      <w:r>
        <w:rPr>
          <w:b/>
        </w:rPr>
        <w:t xml:space="preserve">Mortalidad infantil</w:t>
      </w:r>
      <w:r>
        <w:rPr/>
        <w:t xml:space="preserve">: Entre 1990 y 2024 descendió un </w:t>
      </w:r>
      <w:r>
        <w:rPr>
          <w:b/>
        </w:rPr>
        <w:t xml:space="preserve">60%</w:t>
      </w:r>
      <w:r>
        <w:rPr/>
        <w:t xml:space="preserve">: de 93,5 a 37,4 muertes de menores de cinco años por cada 1.000 nacidos, es decir, de un niño de cada 11 a uno de cada 27. En 2024 murieron, con todo, </w:t>
      </w:r>
      <w:r>
        <w:rPr>
          <w:b/>
        </w:rPr>
        <w:t xml:space="preserve">4,9 millones de niños</w:t>
      </w:r>
      <w:r>
        <w:rPr/>
        <w:t xml:space="preserve"> menores de cinco años, y desde 2015 el ritmo de reducción se ha frenado más de un 60% </w:t>
      </w:r>
      <w:r>
        <w:rPr>
          <w:color w:val="707070"/>
          <w:sz w:val="18"/>
        </w:rPr>
        <w:t xml:space="preserve">(UN IGME, 2026)</w:t>
      </w:r>
      <w:r>
        <w:rPr/>
        <w:t xml:space="preserve">.</w:t>
      </w:r>
    </w:p>
    <w:p>
      <w:pPr>
        <w:pStyle w:val="normal1"/>
        <w:numPr>
          <w:ilvl w:val="0"/>
          <w:numId w:val="1"/>
        </w:numPr>
        <w:spacing w:before="0" w:after="60"/>
        <w:rPr/>
      </w:pPr>
      <w:r>
        <w:rPr>
          <w:b/>
        </w:rPr>
        <w:t xml:space="preserve">Mortalidad materna</w:t>
      </w:r>
      <w:r>
        <w:rPr/>
        <w:t xml:space="preserve">: Reducida un </w:t>
      </w:r>
      <w:r>
        <w:rPr>
          <w:b/>
        </w:rPr>
        <w:t xml:space="preserve">40%</w:t>
      </w:r>
      <w:r>
        <w:rPr/>
        <w:t xml:space="preserve"> entre 2000 y 2023 </w:t>
      </w:r>
      <w:r>
        <w:rPr>
          <w:color w:val="707070"/>
          <w:sz w:val="18"/>
        </w:rPr>
        <w:t xml:space="preserve">(OMS y otras agencias de la ONU, 2025)</w:t>
      </w:r>
      <w:r>
        <w:rPr/>
        <w:t xml:space="preserve">.</w:t>
      </w:r>
    </w:p>
    <w:p>
      <w:pPr>
        <w:pStyle w:val="normal1"/>
        <w:numPr>
          <w:ilvl w:val="0"/>
          <w:numId w:val="1"/>
        </w:numPr>
        <w:spacing w:before="0" w:after="60"/>
        <w:rPr/>
      </w:pPr>
      <w:r>
        <w:rPr>
          <w:b/>
        </w:rPr>
        <w:t xml:space="preserve">Personal sanitario</w:t>
      </w:r>
      <w:r>
        <w:rPr/>
        <w:t xml:space="preserve">: Se prevé una carencia de </w:t>
      </w:r>
      <w:r>
        <w:rPr>
          <w:b/>
        </w:rPr>
        <w:t xml:space="preserve">11 millones de trabajadores sanitarios</w:t>
      </w:r>
      <w:r>
        <w:rPr/>
        <w:t xml:space="preserve"> de aquí a 2030, sobre todo en los países de ingresos bajos y medianos bajos </w:t>
      </w:r>
      <w:r>
        <w:rPr>
          <w:color w:val="707070"/>
          <w:sz w:val="18"/>
        </w:rPr>
        <w:t xml:space="preserve">(proyección de la OMS)</w:t>
      </w:r>
      <w:r>
        <w:rPr/>
        <w:t xml:space="preserve">.</w:t>
      </w:r>
    </w:p>
    <w:p>
      <w:pPr>
        <w:pStyle w:val="normal1"/>
        <w:numPr>
          <w:ilvl w:val="0"/>
          <w:numId w:val="1"/>
        </w:numPr>
        <w:spacing w:before="0" w:after="60"/>
        <w:rPr/>
      </w:pPr>
      <w:r>
        <w:rPr>
          <w:b/>
        </w:rPr>
        <w:t xml:space="preserve">Soledad y salud mental</w:t>
      </w:r>
      <w:r>
        <w:rPr/>
        <w:t xml:space="preserve">: Una de cada seis personas sufre soledad, con más de </w:t>
      </w:r>
      <w:r>
        <w:rPr>
          <w:b/>
        </w:rPr>
        <w:t xml:space="preserve">871.000 muertes al año</w:t>
      </w:r>
      <w:r>
        <w:rPr/>
        <w:t xml:space="preserve"> asociadas </w:t>
      </w:r>
      <w:r>
        <w:rPr>
          <w:color w:val="707070"/>
          <w:sz w:val="18"/>
        </w:rPr>
        <w:t xml:space="preserve">(OMS, 2025)</w:t>
      </w:r>
      <w:r>
        <w:rPr/>
        <w:t xml:space="preserve">. Uno de cada siete adolescentes tiene un trastorno mental </w:t>
      </w:r>
      <w:r>
        <w:rPr>
          <w:color w:val="707070"/>
          <w:sz w:val="18"/>
        </w:rPr>
        <w:t xml:space="preserve">(OMS)</w:t>
      </w:r>
      <w:r>
        <w:rPr/>
        <w:t xml:space="preserve">.</w:t>
      </w:r>
    </w:p>
    <w:p>
      <w:pPr>
        <w:pStyle w:val="normal1"/>
        <w:numPr>
          <w:ilvl w:val="0"/>
          <w:numId w:val="1"/>
        </w:numPr>
        <w:spacing w:before="0" w:after="160"/>
        <w:rPr/>
      </w:pPr>
      <w:r>
        <w:rPr>
          <w:b/>
        </w:rPr>
        <w:t xml:space="preserve">Educación</w:t>
      </w:r>
      <w:r>
        <w:rPr/>
        <w:t xml:space="preserve">: En 2024, </w:t>
      </w:r>
      <w:r>
        <w:rPr>
          <w:b/>
        </w:rPr>
        <w:t xml:space="preserve">273 millones de niños y jóvenes</w:t>
      </w:r>
      <w:r>
        <w:rPr/>
        <w:t xml:space="preserve"> estaban fuera de la escuela, en aumento por séptimo año consecutivo </w:t>
      </w:r>
      <w:r>
        <w:rPr>
          <w:color w:val="707070"/>
          <w:sz w:val="18"/>
        </w:rPr>
        <w:t xml:space="preserve">(UNESCO, 2026)</w:t>
      </w:r>
      <w:r>
        <w:rPr/>
        <w:t xml:space="preserve">.</w:t>
      </w:r>
    </w:p>
    <w:p>
      <w:pPr>
        <w:pStyle w:val="Heading2"/>
        <w:rPr/>
      </w:pPr>
      <w:r>
        <w:rPr/>
        <w:t xml:space="preserve">4. Servicios esenciales y entorno digital</w:t>
      </w:r>
    </w:p>
    <w:p>
      <w:pPr>
        <w:pStyle w:val="normal1"/>
        <w:numPr>
          <w:ilvl w:val="0"/>
          <w:numId w:val="1"/>
        </w:numPr>
        <w:spacing w:before="0" w:after="60"/>
        <w:rPr/>
      </w:pPr>
      <w:r>
        <w:rPr>
          <w:b/>
        </w:rPr>
        <w:t xml:space="preserve">Agua y saneamiento</w:t>
      </w:r>
      <w:r>
        <w:rPr/>
        <w:t xml:space="preserve">: </w:t>
      </w:r>
      <w:r>
        <w:rPr>
          <w:b/>
        </w:rPr>
        <w:t xml:space="preserve">2.100 millones de personas</w:t>
      </w:r>
      <w:r>
        <w:rPr/>
        <w:t xml:space="preserve"> no tienen agua potable segura y 3.400 millones no tienen servicios de saneamiento seguros </w:t>
      </w:r>
      <w:r>
        <w:rPr>
          <w:color w:val="707070"/>
          <w:sz w:val="18"/>
        </w:rPr>
        <w:t xml:space="preserve">(OMS y UNICEF, 2025)</w:t>
      </w:r>
      <w:r>
        <w:rPr/>
        <w:t xml:space="preserve">.</w:t>
      </w:r>
    </w:p>
    <w:p>
      <w:pPr>
        <w:pStyle w:val="normal1"/>
        <w:numPr>
          <w:ilvl w:val="0"/>
          <w:numId w:val="1"/>
        </w:numPr>
        <w:spacing w:before="0" w:after="60"/>
        <w:rPr/>
      </w:pPr>
      <w:r>
        <w:rPr>
          <w:b/>
        </w:rPr>
        <w:t xml:space="preserve">Electricidad y cocina</w:t>
      </w:r>
      <w:r>
        <w:rPr/>
        <w:t xml:space="preserve">: El </w:t>
      </w:r>
      <w:r>
        <w:rPr>
          <w:b/>
        </w:rPr>
        <w:t xml:space="preserve">92%</w:t>
      </w:r>
      <w:r>
        <w:rPr/>
        <w:t xml:space="preserve"> de la población mundial tiene electricidad; siguen sin ella 655 millones de personas, y unos 2.000 millones cocinan con combustibles contaminantes </w:t>
      </w:r>
      <w:r>
        <w:rPr>
          <w:color w:val="707070"/>
          <w:sz w:val="18"/>
        </w:rPr>
        <w:t xml:space="preserve">(Tracking SDG7, 2026)</w:t>
      </w:r>
      <w:r>
        <w:rPr/>
        <w:t xml:space="preserve">.</w:t>
      </w:r>
    </w:p>
    <w:p>
      <w:pPr>
        <w:pStyle w:val="normal1"/>
        <w:numPr>
          <w:ilvl w:val="0"/>
          <w:numId w:val="1"/>
        </w:numPr>
        <w:spacing w:before="0" w:after="160"/>
        <w:rPr/>
      </w:pPr>
      <w:r>
        <w:rPr>
          <w:b/>
        </w:rPr>
        <w:t xml:space="preserve">Entorno digital</w:t>
      </w:r>
      <w:r>
        <w:rPr/>
        <w:t xml:space="preserve">: 6.000 millones de personas, unas tres cuartas partes de la población mundial, usan Internet; </w:t>
      </w:r>
      <w:r>
        <w:rPr>
          <w:b/>
        </w:rPr>
        <w:t xml:space="preserve">2.200 millones</w:t>
      </w:r>
      <w:r>
        <w:rPr/>
        <w:t xml:space="preserve"> siguen sin conexión </w:t>
      </w:r>
      <w:r>
        <w:rPr>
          <w:color w:val="707070"/>
          <w:sz w:val="18"/>
        </w:rPr>
        <w:t xml:space="preserve">(UIT, 2025)</w:t>
      </w:r>
      <w:r>
        <w:rPr/>
        <w:t xml:space="preserve">. El 87% de los encuestados señala las vulnerabilidades relacionadas con la IA como el riesgo informático de más rápido crecimiento </w:t>
      </w:r>
      <w:r>
        <w:rPr>
          <w:color w:val="707070"/>
          <w:sz w:val="18"/>
        </w:rPr>
        <w:t xml:space="preserve">(FEM, Global Cybersecurity Outlook 2026)</w:t>
      </w:r>
      <w:r>
        <w:rPr/>
        <w:t xml:space="preserve">.</w:t>
      </w:r>
    </w:p>
    <w:p>
      <w:pPr>
        <w:pStyle w:val="Heading2"/>
        <w:rPr/>
      </w:pPr>
      <w:r>
        <w:rPr/>
        <w:t xml:space="preserve">5. Clima, energía y medio ambiente</w:t>
      </w:r>
    </w:p>
    <w:p>
      <w:pPr>
        <w:pStyle w:val="normal1"/>
        <w:numPr>
          <w:ilvl w:val="0"/>
          <w:numId w:val="1"/>
        </w:numPr>
        <w:spacing w:before="0" w:after="60"/>
        <w:rPr/>
      </w:pPr>
      <w:r>
        <w:rPr>
          <w:b/>
        </w:rPr>
        <w:t xml:space="preserve">Clima</w:t>
      </w:r>
      <w:r>
        <w:rPr/>
        <w:t xml:space="preserve">: 2025 fue </w:t>
      </w:r>
      <w:r>
        <w:rPr>
          <w:b/>
        </w:rPr>
        <w:t xml:space="preserve">1,44 °C</w:t>
      </w:r>
      <w:r>
        <w:rPr/>
        <w:t xml:space="preserve"> más cálido que la media preindustrial; los últimos once años son los más cálidos jamás registrados </w:t>
      </w:r>
      <w:r>
        <w:rPr>
          <w:color w:val="707070"/>
          <w:sz w:val="18"/>
        </w:rPr>
        <w:t xml:space="preserve">(OMM, 2026)</w:t>
      </w:r>
      <w:r>
        <w:rPr/>
        <w:t xml:space="preserve">. Las emisiones de CO₂ procedentes de combustibles fósiles alcanzaron el récord de </w:t>
      </w:r>
      <w:r>
        <w:rPr>
          <w:b/>
        </w:rPr>
        <w:t xml:space="preserve">38.100 millones de toneladas</w:t>
      </w:r>
      <w:r>
        <w:rPr/>
        <w:t xml:space="preserve"> en 2025 </w:t>
      </w:r>
      <w:r>
        <w:rPr>
          <w:color w:val="707070"/>
          <w:sz w:val="18"/>
        </w:rPr>
        <w:t xml:space="preserve">(estimación del Global Carbon Budget 2025)</w:t>
      </w:r>
      <w:r>
        <w:rPr/>
        <w:t xml:space="preserve">. Con las políticas actuales, el calentamiento llegará a 2,8 °C a finales de siglo </w:t>
      </w:r>
      <w:r>
        <w:rPr>
          <w:color w:val="707070"/>
          <w:sz w:val="18"/>
        </w:rPr>
        <w:t xml:space="preserve">(proyección del PNUMA, Emissions Gap Report 2025)</w:t>
      </w:r>
      <w:r>
        <w:rPr/>
        <w:t xml:space="preserve">.</w:t>
      </w:r>
    </w:p>
    <w:p>
      <w:pPr>
        <w:pStyle w:val="normal1"/>
        <w:numPr>
          <w:ilvl w:val="0"/>
          <w:numId w:val="1"/>
        </w:numPr>
        <w:spacing w:before="0" w:after="60"/>
        <w:rPr/>
      </w:pPr>
      <w:r>
        <w:rPr>
          <w:b/>
        </w:rPr>
        <w:t xml:space="preserve">Electricidad limpia</w:t>
      </w:r>
      <w:r>
        <w:rPr/>
        <w:t xml:space="preserve">: En 2025 las renovables </w:t>
      </w:r>
      <w:r>
        <w:rPr/>
        <w:t xml:space="preserve">(</w:t>
      </w:r>
      <w:r>
        <w:rPr>
          <w:b/>
        </w:rPr>
        <w:t xml:space="preserve">33,8%</w:t>
      </w:r>
      <w:r>
        <w:rPr/>
        <w:t xml:space="preserve">)</w:t>
      </w:r>
      <w:r>
        <w:rPr/>
        <w:t xml:space="preserve"> superaron por primera vez al carbón </w:t>
      </w:r>
      <w:r>
        <w:rPr/>
        <w:t xml:space="preserve">(</w:t>
      </w:r>
      <w:r>
        <w:rPr/>
        <w:t xml:space="preserve">33,0%</w:t>
      </w:r>
      <w:r>
        <w:rPr/>
        <w:t xml:space="preserve">)</w:t>
      </w:r>
      <w:r>
        <w:rPr/>
        <w:t xml:space="preserve"> en la producción mundial de electricidad, y la producción a partir de fuentes fósiles no creció </w:t>
      </w:r>
      <w:r>
        <w:rPr/>
        <w:t xml:space="preserve">(</w:t>
      </w:r>
      <w:r>
        <w:rPr/>
        <w:t xml:space="preserve">-0,2%</w:t>
      </w:r>
      <w:r>
        <w:rPr/>
        <w:t xml:space="preserve">)</w:t>
      </w:r>
      <w:r>
        <w:rPr/>
        <w:t xml:space="preserve"> </w:t>
      </w:r>
      <w:r>
        <w:rPr>
          <w:color w:val="707070"/>
          <w:sz w:val="18"/>
        </w:rPr>
        <w:t xml:space="preserve">(Ember, 2026)</w:t>
      </w:r>
      <w:r>
        <w:rPr/>
        <w:t xml:space="preserve">. Se instalaron 692 GW de renovables, el 85,6% de la nueva capacidad </w:t>
      </w:r>
      <w:r>
        <w:rPr>
          <w:color w:val="707070"/>
          <w:sz w:val="18"/>
        </w:rPr>
        <w:t xml:space="preserve">(IRENA, 2026)</w:t>
      </w:r>
      <w:r>
        <w:rPr/>
        <w:t xml:space="preserve">.</w:t>
      </w:r>
    </w:p>
    <w:p>
      <w:pPr>
        <w:pStyle w:val="normal1"/>
        <w:numPr>
          <w:ilvl w:val="0"/>
          <w:numId w:val="1"/>
        </w:numPr>
        <w:spacing w:before="0" w:after="60"/>
        <w:rPr/>
      </w:pPr>
      <w:r>
        <w:rPr>
          <w:b/>
        </w:rPr>
        <w:t xml:space="preserve">Adaptación climática</w:t>
      </w:r>
      <w:r>
        <w:rPr/>
        <w:t xml:space="preserve">: Los países en desarrollo necesitarán </w:t>
      </w:r>
      <w:r>
        <w:rPr>
          <w:b/>
        </w:rPr>
        <w:t xml:space="preserve">entre 310.000 y 365.000 millones de dólares al año</w:t>
      </w:r>
      <w:r>
        <w:rPr/>
        <w:t xml:space="preserve"> de aquí a 2035; en 2023 recibieron 26.000 millones, es decir, entre 12 y 14 veces menos </w:t>
      </w:r>
      <w:r>
        <w:rPr>
          <w:color w:val="707070"/>
          <w:sz w:val="18"/>
        </w:rPr>
        <w:t xml:space="preserve">(PNUMA, Adaptation Gap Report 2025)</w:t>
      </w:r>
      <w:r>
        <w:rPr/>
        <w:t xml:space="preserve">.</w:t>
      </w:r>
    </w:p>
    <w:p>
      <w:pPr>
        <w:pStyle w:val="normal1"/>
        <w:numPr>
          <w:ilvl w:val="0"/>
          <w:numId w:val="1"/>
        </w:numPr>
        <w:spacing w:before="0" w:after="60"/>
        <w:rPr/>
      </w:pPr>
      <w:r>
        <w:rPr>
          <w:b/>
        </w:rPr>
        <w:t xml:space="preserve">Límites planetarios</w:t>
      </w:r>
      <w:r>
        <w:rPr/>
        <w:t xml:space="preserve">: </w:t>
      </w:r>
      <w:r>
        <w:rPr>
          <w:b/>
        </w:rPr>
        <w:t xml:space="preserve">Siete de los nueve</w:t>
      </w:r>
      <w:r>
        <w:rPr/>
        <w:t xml:space="preserve"> están superados, todos con tendencia a empeorar; el último es la acidificación de los océanos </w:t>
      </w:r>
      <w:r>
        <w:rPr>
          <w:color w:val="707070"/>
          <w:sz w:val="18"/>
        </w:rPr>
        <w:t xml:space="preserve">(Planetary Health Check 2025)</w:t>
      </w:r>
      <w:r>
        <w:rPr/>
        <w:t xml:space="preserve">.</w:t>
      </w:r>
    </w:p>
    <w:p>
      <w:pPr>
        <w:pStyle w:val="normal1"/>
        <w:numPr>
          <w:ilvl w:val="0"/>
          <w:numId w:val="1"/>
        </w:numPr>
        <w:spacing w:before="0" w:after="60"/>
        <w:rPr/>
      </w:pPr>
      <w:r>
        <w:rPr>
          <w:b/>
        </w:rPr>
        <w:t xml:space="preserve">Biodiversidad</w:t>
      </w:r>
      <w:r>
        <w:rPr/>
        <w:t xml:space="preserve">: Las poblaciones de vertebrados silvestres objeto de seguimiento disminuyeron en promedio un </w:t>
      </w:r>
      <w:r>
        <w:rPr>
          <w:b/>
        </w:rPr>
        <w:t xml:space="preserve">73%</w:t>
      </w:r>
      <w:r>
        <w:rPr/>
        <w:t xml:space="preserve"> entre 1970 y 2020 </w:t>
      </w:r>
      <w:r>
        <w:rPr>
          <w:color w:val="707070"/>
          <w:sz w:val="18"/>
        </w:rPr>
        <w:t xml:space="preserve">(WWF, Living Planet Report 2024)</w:t>
      </w:r>
      <w:r>
        <w:rPr/>
        <w:t xml:space="preserve">. Más de 48.600 especies están amenazadas de extinción, el 28% de las evaluadas </w:t>
      </w:r>
      <w:r>
        <w:rPr>
          <w:color w:val="707070"/>
          <w:sz w:val="18"/>
        </w:rPr>
        <w:t xml:space="preserve">(UICN, Lista Roja, 2026)</w:t>
      </w:r>
      <w:r>
        <w:rPr/>
        <w:t xml:space="preserve">.</w:t>
      </w:r>
    </w:p>
    <w:p>
      <w:pPr>
        <w:pStyle w:val="normal1"/>
        <w:numPr>
          <w:ilvl w:val="0"/>
          <w:numId w:val="1"/>
        </w:numPr>
        <w:spacing w:before="0" w:after="60"/>
        <w:rPr/>
      </w:pPr>
      <w:r>
        <w:rPr>
          <w:b/>
        </w:rPr>
        <w:t xml:space="preserve">Bosques</w:t>
      </w:r>
      <w:r>
        <w:rPr/>
        <w:t xml:space="preserve">: La deforestación bajó de 17,6 millones de hectáreas al año en los años noventa a </w:t>
      </w:r>
      <w:r>
        <w:rPr>
          <w:b/>
        </w:rPr>
        <w:t xml:space="preserve">10,9 millones</w:t>
      </w:r>
      <w:r>
        <w:rPr/>
        <w:t xml:space="preserve"> en 2015-2025 </w:t>
      </w:r>
      <w:r>
        <w:rPr>
          <w:color w:val="707070"/>
          <w:sz w:val="18"/>
        </w:rPr>
        <w:t xml:space="preserve">(FAO, 2025)</w:t>
      </w:r>
      <w:r>
        <w:rPr/>
        <w:t xml:space="preserve">.</w:t>
      </w:r>
    </w:p>
    <w:p>
      <w:pPr>
        <w:pStyle w:val="normal1"/>
        <w:numPr>
          <w:ilvl w:val="0"/>
          <w:numId w:val="1"/>
        </w:numPr>
        <w:spacing w:before="0" w:after="60"/>
        <w:rPr/>
      </w:pPr>
      <w:r>
        <w:rPr>
          <w:b/>
        </w:rPr>
        <w:t xml:space="preserve">Ozono</w:t>
      </w:r>
      <w:r>
        <w:rPr/>
        <w:t xml:space="preserve">: Se ha eliminado más del </w:t>
      </w:r>
      <w:r>
        <w:rPr>
          <w:b/>
        </w:rPr>
        <w:t xml:space="preserve">99%</w:t>
      </w:r>
      <w:r>
        <w:rPr/>
        <w:t xml:space="preserve"> de las sustancias que lo destruyen; la capa volverá a los niveles de 1980 hacia mediados de siglo </w:t>
      </w:r>
      <w:r>
        <w:rPr>
          <w:color w:val="707070"/>
          <w:sz w:val="18"/>
        </w:rPr>
        <w:t xml:space="preserve">(OMM, 2025)</w:t>
      </w:r>
      <w:r>
        <w:rPr/>
        <w:t xml:space="preserve">.</w:t>
      </w:r>
    </w:p>
    <w:p>
      <w:pPr>
        <w:pStyle w:val="normal1"/>
        <w:numPr>
          <w:ilvl w:val="0"/>
          <w:numId w:val="1"/>
        </w:numPr>
        <w:spacing w:before="0" w:after="160"/>
        <w:rPr/>
      </w:pPr>
      <w:r>
        <w:rPr>
          <w:b/>
        </w:rPr>
        <w:t xml:space="preserve">Recursos y desperdicio</w:t>
      </w:r>
      <w:r>
        <w:rPr/>
        <w:t xml:space="preserve">: La extracción de materiales pasó de 30.000 millones de toneladas en 1970 a unos </w:t>
      </w:r>
      <w:r>
        <w:rPr>
          <w:b/>
        </w:rPr>
        <w:t xml:space="preserve">106.000 millones</w:t>
      </w:r>
      <w:r>
        <w:rPr/>
        <w:t xml:space="preserve"> en 2024 </w:t>
      </w:r>
      <w:r>
        <w:rPr>
          <w:color w:val="707070"/>
          <w:sz w:val="18"/>
        </w:rPr>
        <w:t xml:space="preserve">(PNUMA, Global Resources Outlook 2024)</w:t>
      </w:r>
      <w:r>
        <w:rPr/>
        <w:t xml:space="preserve">. En 2022 se desperdiciaron </w:t>
      </w:r>
      <w:r>
        <w:rPr>
          <w:b/>
        </w:rPr>
        <w:t xml:space="preserve">1.050 millones de toneladas de alimentos</w:t>
      </w:r>
      <w:r>
        <w:rPr/>
        <w:t xml:space="preserve">, el 19% de los disponibles para los consumidores </w:t>
      </w:r>
      <w:r>
        <w:rPr>
          <w:color w:val="707070"/>
          <w:sz w:val="18"/>
        </w:rPr>
        <w:t xml:space="preserve">(PNUMA, Food Waste Index 2024)</w:t>
      </w:r>
      <w:r>
        <w:rPr/>
        <w:t xml:space="preserve">. Cada año se producen 92 millones de toneladas de residuos textiles </w:t>
      </w:r>
      <w:r>
        <w:rPr>
          <w:color w:val="707070"/>
          <w:sz w:val="18"/>
        </w:rPr>
        <w:t xml:space="preserve">(PNUMA, 2025)</w:t>
      </w:r>
      <w:r>
        <w:rPr/>
        <w:t xml:space="preserve">.</w:t>
      </w:r>
    </w:p>
    <w:p>
      <w:pPr>
        <w:pStyle w:val="Heading2"/>
        <w:rPr/>
      </w:pPr>
      <w:r>
        <w:rPr/>
        <w:t xml:space="preserve">6. Guerra, seguridad y desplazamientos forzados</w:t>
      </w:r>
    </w:p>
    <w:p>
      <w:pPr>
        <w:pStyle w:val="normal1"/>
        <w:numPr>
          <w:ilvl w:val="0"/>
          <w:numId w:val="1"/>
        </w:numPr>
        <w:spacing w:before="0" w:after="60"/>
        <w:rPr/>
      </w:pPr>
      <w:r>
        <w:rPr>
          <w:b/>
        </w:rPr>
        <w:t xml:space="preserve">Conflictos</w:t>
      </w:r>
      <w:r>
        <w:rPr/>
        <w:t xml:space="preserve">: En 2025 se registraron </w:t>
      </w:r>
      <w:r>
        <w:rPr>
          <w:b/>
        </w:rPr>
        <w:t xml:space="preserve">65 conflictos armados</w:t>
      </w:r>
      <w:r>
        <w:rPr/>
        <w:t xml:space="preserve"> con al menos un Estado implicado, la cifra más alta desde 1946, y unas 244.600 muertes por violencia organizada </w:t>
      </w:r>
      <w:r>
        <w:rPr>
          <w:color w:val="707070"/>
          <w:sz w:val="18"/>
        </w:rPr>
        <w:t xml:space="preserve">(UCDP, Universidad de Uppsala, 2026)</w:t>
      </w:r>
      <w:r>
        <w:rPr/>
        <w:t xml:space="preserve">.</w:t>
      </w:r>
    </w:p>
    <w:p>
      <w:pPr>
        <w:pStyle w:val="normal1"/>
        <w:numPr>
          <w:ilvl w:val="0"/>
          <w:numId w:val="1"/>
        </w:numPr>
        <w:spacing w:before="0" w:after="60"/>
        <w:rPr/>
      </w:pPr>
      <w:r>
        <w:rPr>
          <w:b/>
        </w:rPr>
        <w:t xml:space="preserve">Gasto militar</w:t>
      </w:r>
      <w:r>
        <w:rPr/>
        <w:t xml:space="preserve">: </w:t>
      </w:r>
      <w:r>
        <w:rPr>
          <w:b/>
        </w:rPr>
        <w:t xml:space="preserve">2,89 billones de dólares</w:t>
      </w:r>
      <w:r>
        <w:rPr/>
        <w:t xml:space="preserve"> en 2025 </w:t>
      </w:r>
      <w:r>
        <w:rPr/>
        <w:t xml:space="preserve">(</w:t>
      </w:r>
      <w:r>
        <w:rPr/>
        <w:t xml:space="preserve">+2,9%</w:t>
      </w:r>
      <w:r>
        <w:rPr/>
        <w:t xml:space="preserve">)</w:t>
      </w:r>
      <w:r>
        <w:rPr/>
        <w:t xml:space="preserve">, undécimo año consecutivo de crecimiento. Es el 2,5% del PIB mundial, el nivel más alto desde 2009 </w:t>
      </w:r>
      <w:r>
        <w:rPr>
          <w:color w:val="707070"/>
          <w:sz w:val="18"/>
        </w:rPr>
        <w:t xml:space="preserve">(SIPRI, 2026)</w:t>
      </w:r>
      <w:r>
        <w:rPr/>
        <w:t xml:space="preserve">.</w:t>
      </w:r>
    </w:p>
    <w:p>
      <w:pPr>
        <w:pStyle w:val="normal1"/>
        <w:numPr>
          <w:ilvl w:val="0"/>
          <w:numId w:val="1"/>
        </w:numPr>
        <w:spacing w:before="0" w:after="60"/>
        <w:rPr/>
      </w:pPr>
      <w:r>
        <w:rPr>
          <w:b/>
        </w:rPr>
        <w:t xml:space="preserve">Armas nucleares</w:t>
      </w:r>
      <w:r>
        <w:rPr/>
        <w:t xml:space="preserve">: En enero de 2026 existían unas </w:t>
      </w:r>
      <w:r>
        <w:rPr>
          <w:b/>
        </w:rPr>
        <w:t xml:space="preserve">12.187 ojivas</w:t>
      </w:r>
      <w:r>
        <w:rPr/>
        <w:t xml:space="preserve">; las de los arsenales militares eran unas 9.745, 130 más en un año </w:t>
      </w:r>
      <w:r>
        <w:rPr>
          <w:color w:val="707070"/>
          <w:sz w:val="18"/>
        </w:rPr>
        <w:t xml:space="preserve">(SIPRI Yearbook 2026)</w:t>
      </w:r>
      <w:r>
        <w:rPr/>
        <w:t xml:space="preserve">.</w:t>
      </w:r>
    </w:p>
    <w:p>
      <w:pPr>
        <w:pStyle w:val="normal1"/>
        <w:numPr>
          <w:ilvl w:val="0"/>
          <w:numId w:val="1"/>
        </w:numPr>
        <w:spacing w:before="0" w:after="160"/>
        <w:rPr/>
      </w:pPr>
      <w:r>
        <w:rPr>
          <w:b/>
        </w:rPr>
        <w:t xml:space="preserve">Desplazamientos forzados</w:t>
      </w:r>
      <w:r>
        <w:rPr/>
        <w:t xml:space="preserve">: A finales de 2025, las personas obligadas a abandonar su hogar eran </w:t>
      </w:r>
      <w:r>
        <w:rPr>
          <w:b/>
        </w:rPr>
        <w:t xml:space="preserve">117,8 millones</w:t>
      </w:r>
      <w:r>
        <w:rPr/>
        <w:t xml:space="preserve">, una de cada 70 en el mundo. Es el primer descenso en diez años </w:t>
      </w:r>
      <w:r>
        <w:rPr>
          <w:color w:val="707070"/>
          <w:sz w:val="18"/>
        </w:rPr>
        <w:t xml:space="preserve">(ACNUR, Global Trends, 2026)</w:t>
      </w:r>
      <w:r>
        <w:rPr/>
        <w:t xml:space="preserve">.</w:t>
      </w:r>
    </w:p>
    <w:p>
      <w:pPr>
        <w:pStyle w:val="Heading2"/>
        <w:rPr/>
      </w:pPr>
      <w:r>
        <w:rPr/>
        <w:t xml:space="preserve">7. Democracia, instituciones y derechos</w:t>
      </w:r>
    </w:p>
    <w:p>
      <w:pPr>
        <w:pStyle w:val="normal1"/>
        <w:numPr>
          <w:ilvl w:val="0"/>
          <w:numId w:val="1"/>
        </w:numPr>
        <w:spacing w:before="0" w:after="60"/>
        <w:rPr/>
      </w:pPr>
      <w:r>
        <w:rPr>
          <w:b/>
        </w:rPr>
        <w:t xml:space="preserve">Declive democrático</w:t>
      </w:r>
      <w:r>
        <w:rPr/>
        <w:t xml:space="preserve">: La libertad global disminuyó por </w:t>
      </w:r>
      <w:r>
        <w:rPr>
          <w:b/>
        </w:rPr>
        <w:t xml:space="preserve">vigésimo año consecutivo</w:t>
      </w:r>
      <w:r>
        <w:rPr/>
        <w:t xml:space="preserve">: en 2025, 54 países empeoraron frente a 35 que mejoraron </w:t>
      </w:r>
      <w:r>
        <w:rPr>
          <w:color w:val="707070"/>
          <w:sz w:val="18"/>
        </w:rPr>
        <w:t xml:space="preserve">(Freedom House, 2026)</w:t>
      </w:r>
      <w:r>
        <w:rPr/>
        <w:t xml:space="preserve">.</w:t>
      </w:r>
    </w:p>
    <w:p>
      <w:pPr>
        <w:pStyle w:val="normal1"/>
        <w:numPr>
          <w:ilvl w:val="0"/>
          <w:numId w:val="1"/>
        </w:numPr>
        <w:spacing w:before="0" w:after="60"/>
        <w:rPr/>
      </w:pPr>
      <w:r>
        <w:rPr>
          <w:b/>
        </w:rPr>
        <w:t xml:space="preserve">Confianza</w:t>
      </w:r>
      <w:r>
        <w:rPr/>
        <w:t xml:space="preserve">: En los países de la OCDE, el </w:t>
      </w:r>
      <w:r>
        <w:rPr>
          <w:b/>
        </w:rPr>
        <w:t xml:space="preserve">40%</w:t>
      </w:r>
      <w:r>
        <w:rPr/>
        <w:t xml:space="preserve"> de los ciudadanos tiene una confianza alta o medio-alta en su gobierno nacional; el 43%, baja o nula </w:t>
      </w:r>
      <w:r>
        <w:rPr>
          <w:color w:val="707070"/>
          <w:sz w:val="18"/>
        </w:rPr>
        <w:t xml:space="preserve">(OCDE, Trust Survey 2026)</w:t>
      </w:r>
      <w:r>
        <w:rPr/>
        <w:t xml:space="preserve">.</w:t>
      </w:r>
    </w:p>
    <w:p>
      <w:pPr>
        <w:pStyle w:val="normal1"/>
        <w:numPr>
          <w:ilvl w:val="0"/>
          <w:numId w:val="1"/>
        </w:numPr>
        <w:spacing w:before="0" w:after="60"/>
        <w:rPr/>
      </w:pPr>
      <w:r>
        <w:rPr>
          <w:b/>
        </w:rPr>
        <w:t xml:space="preserve">Cárceles</w:t>
      </w:r>
      <w:r>
        <w:rPr/>
        <w:t xml:space="preserve">: En Europa, a 31 de enero de 2025, había en promedio </w:t>
      </w:r>
      <w:r>
        <w:rPr>
          <w:b/>
        </w:rPr>
        <w:t xml:space="preserve">95,2 reclusos por cada 100 plazas</w:t>
      </w:r>
      <w:r>
        <w:rPr/>
        <w:t xml:space="preserve"> </w:t>
      </w:r>
      <w:r>
        <w:rPr/>
        <w:t xml:space="preserve">(</w:t>
      </w:r>
      <w:r>
        <w:rPr/>
        <w:t xml:space="preserve">94,7 un año antes</w:t>
      </w:r>
      <w:r>
        <w:rPr/>
        <w:t xml:space="preserve">)</w:t>
      </w:r>
      <w:r>
        <w:rPr/>
        <w:t xml:space="preserve">. 14 sistemas penitenciarios están sobreocupados, 9 de forma grave, entre ellos Italia y Francia </w:t>
      </w:r>
      <w:r>
        <w:rPr>
          <w:color w:val="707070"/>
          <w:sz w:val="18"/>
        </w:rPr>
        <w:t xml:space="preserve">(Consejo de Europa, SPACE I, 2026)</w:t>
      </w:r>
      <w:r>
        <w:rPr/>
        <w:t xml:space="preserve">.</w:t>
      </w:r>
    </w:p>
    <w:p>
      <w:pPr>
        <w:pStyle w:val="normal1"/>
        <w:numPr>
          <w:ilvl w:val="0"/>
          <w:numId w:val="1"/>
        </w:numPr>
        <w:spacing w:before="0" w:after="160"/>
        <w:rPr/>
      </w:pPr>
      <w:r>
        <w:rPr>
          <w:b/>
        </w:rPr>
        <w:t xml:space="preserve">Violencia contra las mujeres</w:t>
      </w:r>
      <w:r>
        <w:rPr/>
        <w:t xml:space="preserve">: Unos </w:t>
      </w:r>
      <w:r>
        <w:rPr>
          <w:b/>
        </w:rPr>
        <w:t xml:space="preserve">840 millones de mujeres</w:t>
      </w:r>
      <w:r>
        <w:rPr/>
        <w:t xml:space="preserve">, casi una de cada tres, han sufrido violencia por parte de su pareja o violencia sexual a lo largo de su vida; el dato apenas ha variado desde 2000 </w:t>
      </w:r>
      <w:r>
        <w:rPr>
          <w:color w:val="707070"/>
          <w:sz w:val="18"/>
        </w:rPr>
        <w:t xml:space="preserve">(OMS, 2025)</w:t>
      </w:r>
      <w:r>
        <w:rPr/>
        <w:t xml:space="preserve">.</w:t>
      </w:r>
    </w:p>
    <w:p>
      <w:pPr>
        <w:pStyle w:val="Heading2"/>
        <w:rPr/>
      </w:pPr>
      <w:r>
        <w:rPr/>
        <w:t xml:space="preserve">8. Deuda, comercio y ayuda</w:t>
      </w:r>
    </w:p>
    <w:p>
      <w:pPr>
        <w:pStyle w:val="normal1"/>
        <w:numPr>
          <w:ilvl w:val="0"/>
          <w:numId w:val="1"/>
        </w:numPr>
        <w:spacing w:before="0" w:after="60"/>
        <w:rPr/>
      </w:pPr>
      <w:r>
        <w:rPr>
          <w:b/>
        </w:rPr>
        <w:t xml:space="preserve">Deuda global</w:t>
      </w:r>
      <w:r>
        <w:rPr/>
        <w:t xml:space="preserve">: En 2024 alcanzó </w:t>
      </w:r>
      <w:r>
        <w:rPr>
          <w:b/>
        </w:rPr>
        <w:t xml:space="preserve">251 billones de dólares</w:t>
      </w:r>
      <w:r>
        <w:rPr/>
        <w:t xml:space="preserve">, algo por encima del 235% del PIB mundial; la deuda pública está en el 93% del PIB </w:t>
      </w:r>
      <w:r>
        <w:rPr>
          <w:color w:val="707070"/>
          <w:sz w:val="18"/>
        </w:rPr>
        <w:t xml:space="preserve">(FMI, Global Debt Monitor 2025)</w:t>
      </w:r>
      <w:r>
        <w:rPr/>
        <w:t xml:space="preserve">.</w:t>
      </w:r>
    </w:p>
    <w:p>
      <w:pPr>
        <w:pStyle w:val="normal1"/>
        <w:numPr>
          <w:ilvl w:val="0"/>
          <w:numId w:val="1"/>
        </w:numPr>
        <w:spacing w:before="0" w:after="60"/>
        <w:rPr/>
      </w:pPr>
      <w:r>
        <w:rPr>
          <w:b/>
        </w:rPr>
        <w:t xml:space="preserve">Comercio</w:t>
      </w:r>
      <w:r>
        <w:rPr/>
        <w:t xml:space="preserve">: Los intercambios mundiales superaron por primera vez los </w:t>
      </w:r>
      <w:r>
        <w:rPr>
          <w:b/>
        </w:rPr>
        <w:t xml:space="preserve">35 billones de dólares</w:t>
      </w:r>
      <w:r>
        <w:rPr/>
        <w:t xml:space="preserve"> en 2025 </w:t>
      </w:r>
      <w:r>
        <w:rPr>
          <w:color w:val="707070"/>
          <w:sz w:val="18"/>
        </w:rPr>
        <w:t xml:space="preserve">(estimación de la UNCTAD, 2025)</w:t>
      </w:r>
      <w:r>
        <w:rPr/>
        <w:t xml:space="preserve">. Al mismo tiempo, las tensiones geopolíticas empujan hacia la regionalización y la búsqueda de autonomía estratégica en semiconductores, energía y minerales críticos </w:t>
      </w:r>
      <w:r>
        <w:rPr>
          <w:color w:val="707070"/>
          <w:sz w:val="18"/>
        </w:rPr>
        <w:t xml:space="preserve">(valoración)</w:t>
      </w:r>
      <w:r>
        <w:rPr/>
        <w:t xml:space="preserve">.</w:t>
      </w:r>
    </w:p>
    <w:p>
      <w:pPr>
        <w:pStyle w:val="normal1"/>
        <w:numPr>
          <w:ilvl w:val="0"/>
          <w:numId w:val="1"/>
        </w:numPr>
        <w:spacing w:before="0" w:after="160"/>
        <w:rPr/>
      </w:pPr>
      <w:r>
        <w:rPr>
          <w:b/>
        </w:rPr>
        <w:t xml:space="preserve">Ayuda al desarrollo</w:t>
      </w:r>
      <w:r>
        <w:rPr/>
        <w:t xml:space="preserve">: En 2025 disminuyó un </w:t>
      </w:r>
      <w:r>
        <w:rPr>
          <w:b/>
        </w:rPr>
        <w:t xml:space="preserve">23,1%</w:t>
      </w:r>
      <w:r>
        <w:rPr/>
        <w:t xml:space="preserve">, el descenso anual más fuerte jamás registrado, hasta 174.300 millones de dólares </w:t>
      </w:r>
      <w:r>
        <w:rPr>
          <w:color w:val="707070"/>
          <w:sz w:val="18"/>
        </w:rPr>
        <w:t xml:space="preserve">(OCDE, datos preliminares, 2026)</w:t>
      </w:r>
      <w:r>
        <w:rPr/>
        <w:t xml:space="preserve">.</w:t>
      </w:r>
    </w:p>
    <w:p>
      <w:pPr>
        <w:pStyle w:val="Heading1"/>
        <w:rPr/>
      </w:pPr>
      <w:r>
        <w:rPr/>
        <w:t xml:space="preserve">Segunda parte — Lectura de conjunto</w:t>
      </w:r>
    </w:p>
    <w:p>
      <w:pPr>
        <w:pStyle w:val="normal1"/>
        <w:spacing w:before="0" w:after="160"/>
        <w:rPr/>
      </w:pPr>
      <w:r>
        <w:rPr/>
        <w:t xml:space="preserve">Esta parte es una interpretación de los datos anteriores.</w:t>
      </w:r>
    </w:p>
    <w:p>
      <w:pPr>
        <w:pStyle w:val="normal1"/>
        <w:spacing w:before="0" w:after="160"/>
        <w:rPr/>
      </w:pPr>
      <w:r>
        <w:rPr/>
        <w:t xml:space="preserve">Los fenómenos individuales no pueden abordarse con enfoques sectoriales aislados. Leídos en conjunto, los datos muestran tres desfases recurrentes.</w:t>
      </w:r>
    </w:p>
    <w:p>
      <w:pPr>
        <w:pStyle w:val="normal1"/>
        <w:spacing w:before="0" w:after="160"/>
        <w:rPr/>
      </w:pPr>
      <w:r>
        <w:rPr>
          <w:b/>
        </w:rPr>
        <w:t xml:space="preserve">Entre lo que se produce y cómo se distribuye.</w:t>
      </w:r>
      <w:r>
        <w:rPr/>
        <w:t xml:space="preserve"> Se desperdicia una quinta parte de los alimentos disponibles mientras 645 millones de personas pasan hambre. La productividad crece más que los salarios. La riqueza aumenta y se concentra.</w:t>
      </w:r>
    </w:p>
    <w:p>
      <w:pPr>
        <w:pStyle w:val="normal1"/>
        <w:spacing w:before="0" w:after="160"/>
        <w:rPr/>
      </w:pPr>
      <w:r>
        <w:rPr>
          <w:b/>
        </w:rPr>
        <w:t xml:space="preserve">Entre lo que se sabe y lo que se hace.</w:t>
      </w:r>
      <w:r>
        <w:rPr/>
        <w:t xml:space="preserve"> Los objetivos climáticos son compartidos, pero las emisiones están en niveles récord. El gasto militar crece desde hace once años, mientras la ayuda al desarrollo registra el descenso más fuerte de su historia y la adaptación climática recibe una fracción de lo que hace falta.</w:t>
      </w:r>
    </w:p>
    <w:p>
      <w:pPr>
        <w:pStyle w:val="normal1"/>
        <w:spacing w:before="0" w:after="160"/>
        <w:rPr/>
      </w:pPr>
      <w:r>
        <w:rPr>
          <w:b/>
        </w:rPr>
        <w:t xml:space="preserve">Entre quien decide y quien sufre los efectos.</w:t>
      </w:r>
      <w:r>
        <w:rPr/>
        <w:t xml:space="preserve"> La libertad retrocede desde hace veinte años y, en los países de la OCDE, quienes no confían en su gobierno superan a quienes confían.</w:t>
      </w:r>
    </w:p>
    <w:p>
      <w:pPr>
        <w:pStyle w:val="normal1"/>
        <w:spacing w:before="0" w:after="160"/>
        <w:rPr/>
      </w:pPr>
      <w:r>
        <w:rPr/>
        <w:t xml:space="preserve">Los avances recogidos junto a los problemas indican que estos desfases no son inevitables: allí donde ha habido decisiones colectivas coordinadas, de la salud infantil a la capa de ozono, los resultados han llegado.</w:t>
      </w:r>
    </w:p>
    <w:p>
      <w:pPr>
        <w:pStyle w:val="Heading1"/>
        <w:rPr/>
      </w:pPr>
      <w:r>
        <w:rPr/>
        <w:t xml:space="preserve">Fuentes</w:t>
      </w:r>
    </w:p>
    <w:p>
      <w:pPr>
        <w:pStyle w:val="normal1"/>
        <w:spacing w:before="0" w:after="160"/>
        <w:rPr/>
      </w:pPr>
      <w:r>
        <w:rPr/>
        <w:t xml:space="preserve">Los enlaces llevan a la página consultada para la verificación, el 3 de octubre de 2026. Cuando el informe original no era accesible, llevan a la síntesis utilizada en su lugar.</w:t>
      </w:r>
    </w:p>
    <w:p>
      <w:pPr>
        <w:pStyle w:val="normal1"/>
        <w:numPr>
          <w:ilvl w:val="0"/>
          <w:numId w:val="1"/>
        </w:numPr>
        <w:spacing w:before="0" w:after="60"/>
        <w:rPr/>
      </w:pPr>
      <w:hyperlink r:id="rLink1">
        <w:r>
          <w:rPr>
            <w:color w:val="243B55"/>
            <w:u w:val="single"/>
          </w:rPr>
          <w:t xml:space="preserve">ACNUR, Global Trends (junio de 2026)</w:t>
        </w:r>
      </w:hyperlink>
    </w:p>
    <w:p>
      <w:pPr>
        <w:pStyle w:val="normal1"/>
        <w:numPr>
          <w:ilvl w:val="0"/>
          <w:numId w:val="1"/>
        </w:numPr>
        <w:spacing w:before="0" w:after="60"/>
        <w:rPr/>
      </w:pPr>
      <w:hyperlink r:id="rLink2">
        <w:r>
          <w:rPr>
            <w:color w:val="243B55"/>
            <w:u w:val="single"/>
          </w:rPr>
          <w:t xml:space="preserve">Banco Mundial, actualización de las líneas de pobreza (junio de 2025)</w:t>
        </w:r>
      </w:hyperlink>
      <w:r>
        <w:rPr/>
        <w:t xml:space="preserve">; </w:t>
      </w:r>
      <w:hyperlink r:id="rLink3">
        <w:r>
          <w:rPr>
            <w:color w:val="243B55"/>
            <w:u w:val="single"/>
          </w:rPr>
          <w:t xml:space="preserve">estimación 2025</w:t>
        </w:r>
      </w:hyperlink>
    </w:p>
    <w:p>
      <w:pPr>
        <w:pStyle w:val="normal1"/>
        <w:numPr>
          <w:ilvl w:val="0"/>
          <w:numId w:val="1"/>
        </w:numPr>
        <w:spacing w:before="0" w:after="60"/>
        <w:rPr/>
      </w:pPr>
      <w:hyperlink r:id="rLink4">
        <w:r>
          <w:rPr>
            <w:color w:val="243B55"/>
            <w:u w:val="single"/>
          </w:rPr>
          <w:t xml:space="preserve">Consejo de Europa, estadísticas penitenciarias SPACE I (mayo de 2026)</w:t>
        </w:r>
      </w:hyperlink>
    </w:p>
    <w:p>
      <w:pPr>
        <w:pStyle w:val="normal1"/>
        <w:numPr>
          <w:ilvl w:val="0"/>
          <w:numId w:val="1"/>
        </w:numPr>
        <w:spacing w:before="0" w:after="60"/>
        <w:rPr/>
      </w:pPr>
      <w:hyperlink r:id="rLink5">
        <w:r>
          <w:rPr>
            <w:color w:val="243B55"/>
            <w:u w:val="single"/>
          </w:rPr>
          <w:t xml:space="preserve">Ember, Global Electricity Review 2026</w:t>
        </w:r>
      </w:hyperlink>
    </w:p>
    <w:p>
      <w:pPr>
        <w:pStyle w:val="normal1"/>
        <w:numPr>
          <w:ilvl w:val="0"/>
          <w:numId w:val="1"/>
        </w:numPr>
        <w:spacing w:before="0" w:after="60"/>
        <w:rPr/>
      </w:pPr>
      <w:hyperlink r:id="rLink6">
        <w:r>
          <w:rPr>
            <w:color w:val="243B55"/>
            <w:u w:val="single"/>
          </w:rPr>
          <w:t xml:space="preserve">Eurostat, precios de la vivienda y alquileres (julio de 2025)</w:t>
        </w:r>
      </w:hyperlink>
    </w:p>
    <w:p>
      <w:pPr>
        <w:pStyle w:val="normal1"/>
        <w:numPr>
          <w:ilvl w:val="0"/>
          <w:numId w:val="1"/>
        </w:numPr>
        <w:spacing w:before="0" w:after="60"/>
        <w:rPr/>
      </w:pPr>
      <w:hyperlink r:id="rLink7">
        <w:r>
          <w:rPr>
            <w:color w:val="243B55"/>
            <w:u w:val="single"/>
          </w:rPr>
          <w:t xml:space="preserve">FAO, FIDA, UNICEF, PMA y OMS, The State of Food Security and Nutrition in the World (SOFI) 2026</w:t>
        </w:r>
      </w:hyperlink>
    </w:p>
    <w:p>
      <w:pPr>
        <w:pStyle w:val="normal1"/>
        <w:numPr>
          <w:ilvl w:val="0"/>
          <w:numId w:val="1"/>
        </w:numPr>
        <w:spacing w:before="0" w:after="60"/>
        <w:rPr/>
      </w:pPr>
      <w:hyperlink r:id="rLink8">
        <w:r>
          <w:rPr>
            <w:color w:val="243B55"/>
            <w:u w:val="single"/>
          </w:rPr>
          <w:t xml:space="preserve">FAO, Global Forest Resources Assessment 2025</w:t>
        </w:r>
      </w:hyperlink>
    </w:p>
    <w:p>
      <w:pPr>
        <w:pStyle w:val="normal1"/>
        <w:numPr>
          <w:ilvl w:val="0"/>
          <w:numId w:val="1"/>
        </w:numPr>
        <w:spacing w:before="0" w:after="60"/>
        <w:rPr/>
      </w:pPr>
      <w:hyperlink r:id="rLink9">
        <w:r>
          <w:rPr>
            <w:color w:val="243B55"/>
            <w:u w:val="single"/>
          </w:rPr>
          <w:t xml:space="preserve">FEM, Global Cybersecurity Outlook 2026</w:t>
        </w:r>
      </w:hyperlink>
    </w:p>
    <w:p>
      <w:pPr>
        <w:pStyle w:val="normal1"/>
        <w:numPr>
          <w:ilvl w:val="0"/>
          <w:numId w:val="1"/>
        </w:numPr>
        <w:spacing w:before="0" w:after="60"/>
        <w:rPr/>
      </w:pPr>
      <w:hyperlink r:id="rLink10">
        <w:r>
          <w:rPr>
            <w:color w:val="243B55"/>
            <w:u w:val="single"/>
          </w:rPr>
          <w:t xml:space="preserve">FMI, Global Debt Monitor 2025</w:t>
        </w:r>
      </w:hyperlink>
    </w:p>
    <w:p>
      <w:pPr>
        <w:pStyle w:val="normal1"/>
        <w:numPr>
          <w:ilvl w:val="0"/>
          <w:numId w:val="1"/>
        </w:numPr>
        <w:spacing w:before="0" w:after="60"/>
        <w:rPr/>
      </w:pPr>
      <w:hyperlink r:id="rLink11">
        <w:r>
          <w:rPr>
            <w:color w:val="243B55"/>
            <w:u w:val="single"/>
          </w:rPr>
          <w:t xml:space="preserve">Freedom House, Freedom in the World 2026</w:t>
        </w:r>
      </w:hyperlink>
    </w:p>
    <w:p>
      <w:pPr>
        <w:pStyle w:val="normal1"/>
        <w:numPr>
          <w:ilvl w:val="0"/>
          <w:numId w:val="1"/>
        </w:numPr>
        <w:spacing w:before="0" w:after="60"/>
        <w:rPr/>
      </w:pPr>
      <w:hyperlink r:id="rLink12">
        <w:r>
          <w:rPr>
            <w:color w:val="243B55"/>
            <w:u w:val="single"/>
          </w:rPr>
          <w:t xml:space="preserve">Global Carbon Project, Global Carbon Budget 2025</w:t>
        </w:r>
      </w:hyperlink>
    </w:p>
    <w:p>
      <w:pPr>
        <w:pStyle w:val="normal1"/>
        <w:numPr>
          <w:ilvl w:val="0"/>
          <w:numId w:val="1"/>
        </w:numPr>
        <w:spacing w:before="0" w:after="60"/>
        <w:rPr/>
      </w:pPr>
      <w:hyperlink r:id="rLink13">
        <w:r>
          <w:rPr>
            <w:color w:val="243B55"/>
            <w:u w:val="single"/>
          </w:rPr>
          <w:t xml:space="preserve">IRENA, Renewable Capacity Statistics 2026</w:t>
        </w:r>
      </w:hyperlink>
    </w:p>
    <w:p>
      <w:pPr>
        <w:pStyle w:val="normal1"/>
        <w:numPr>
          <w:ilvl w:val="0"/>
          <w:numId w:val="1"/>
        </w:numPr>
        <w:spacing w:before="0" w:after="60"/>
        <w:rPr/>
      </w:pPr>
      <w:hyperlink r:id="rLink14">
        <w:r>
          <w:rPr>
            <w:color w:val="243B55"/>
            <w:u w:val="single"/>
          </w:rPr>
          <w:t xml:space="preserve">OCDE, Survey on Drivers of Trust in Public Institutions 2026</w:t>
        </w:r>
      </w:hyperlink>
      <w:r>
        <w:rPr/>
        <w:t xml:space="preserve">; </w:t>
      </w:r>
      <w:hyperlink r:id="rLink15">
        <w:r>
          <w:rPr>
            <w:color w:val="243B55"/>
            <w:u w:val="single"/>
          </w:rPr>
          <w:t xml:space="preserve">Pensions at a Glance 2025</w:t>
        </w:r>
      </w:hyperlink>
      <w:r>
        <w:rPr/>
        <w:t xml:space="preserve">; </w:t>
      </w:r>
      <w:hyperlink r:id="rLink16">
        <w:r>
          <w:rPr>
            <w:color w:val="243B55"/>
            <w:u w:val="single"/>
          </w:rPr>
          <w:t xml:space="preserve">datos preliminares sobre la ayuda en 2025 (abril de 2026)</w:t>
        </w:r>
      </w:hyperlink>
    </w:p>
    <w:p>
      <w:pPr>
        <w:pStyle w:val="normal1"/>
        <w:numPr>
          <w:ilvl w:val="0"/>
          <w:numId w:val="1"/>
        </w:numPr>
        <w:spacing w:before="0" w:after="60"/>
        <w:rPr/>
      </w:pPr>
      <w:hyperlink r:id="rLink17">
        <w:r>
          <w:rPr>
            <w:color w:val="243B55"/>
            <w:u w:val="single"/>
          </w:rPr>
          <w:t xml:space="preserve">OIT y UNICEF, Child Labour: Global Estimates 2024 (junio de 2025)</w:t>
        </w:r>
      </w:hyperlink>
    </w:p>
    <w:p>
      <w:pPr>
        <w:pStyle w:val="normal1"/>
        <w:numPr>
          <w:ilvl w:val="0"/>
          <w:numId w:val="1"/>
        </w:numPr>
        <w:spacing w:before="0" w:after="60"/>
        <w:rPr/>
      </w:pPr>
      <w:hyperlink r:id="rLink18">
        <w:r>
          <w:rPr>
            <w:color w:val="243B55"/>
            <w:u w:val="single"/>
          </w:rPr>
          <w:t xml:space="preserve">OIT, Employment and Social Trends 2026</w:t>
        </w:r>
      </w:hyperlink>
      <w:r>
        <w:rPr/>
        <w:t xml:space="preserve">; </w:t>
      </w:r>
      <w:hyperlink r:id="rLink19">
        <w:r>
          <w:rPr>
            <w:color w:val="243B55"/>
            <w:u w:val="single"/>
          </w:rPr>
          <w:t xml:space="preserve">Global Wage Report 2024-25</w:t>
        </w:r>
      </w:hyperlink>
      <w:r>
        <w:rPr/>
        <w:t xml:space="preserve">; </w:t>
      </w:r>
      <w:hyperlink r:id="rLink20">
        <w:r>
          <w:rPr>
            <w:color w:val="243B55"/>
            <w:u w:val="single"/>
          </w:rPr>
          <w:t xml:space="preserve">índice OIT-NASK sobre la IA generativa (mayo de 2025)</w:t>
        </w:r>
      </w:hyperlink>
    </w:p>
    <w:p>
      <w:pPr>
        <w:pStyle w:val="normal1"/>
        <w:numPr>
          <w:ilvl w:val="0"/>
          <w:numId w:val="1"/>
        </w:numPr>
        <w:spacing w:before="0" w:after="60"/>
        <w:rPr/>
      </w:pPr>
      <w:hyperlink r:id="rLink21">
        <w:r>
          <w:rPr>
            <w:color w:val="243B55"/>
            <w:u w:val="single"/>
          </w:rPr>
          <w:t xml:space="preserve">OIT, OIM y Walk Free, Global Estimates of Modern Slavery (2022)</w:t>
        </w:r>
      </w:hyperlink>
    </w:p>
    <w:p>
      <w:pPr>
        <w:pStyle w:val="normal1"/>
        <w:numPr>
          <w:ilvl w:val="0"/>
          <w:numId w:val="1"/>
        </w:numPr>
        <w:spacing w:before="0" w:after="60"/>
        <w:rPr/>
      </w:pPr>
      <w:hyperlink r:id="rLink22">
        <w:r>
          <w:rPr>
            <w:color w:val="243B55"/>
            <w:u w:val="single"/>
          </w:rPr>
          <w:t xml:space="preserve">OMM, temperatura global 2025 (2026)</w:t>
        </w:r>
      </w:hyperlink>
      <w:r>
        <w:rPr/>
        <w:t xml:space="preserve">; </w:t>
      </w:r>
      <w:hyperlink r:id="rLink23">
        <w:r>
          <w:rPr>
            <w:color w:val="243B55"/>
            <w:u w:val="single"/>
          </w:rPr>
          <w:t xml:space="preserve">Ozone Bulletin (septiembre de 2025)</w:t>
        </w:r>
      </w:hyperlink>
    </w:p>
    <w:p>
      <w:pPr>
        <w:pStyle w:val="normal1"/>
        <w:numPr>
          <w:ilvl w:val="0"/>
          <w:numId w:val="1"/>
        </w:numPr>
        <w:spacing w:before="0" w:after="60"/>
        <w:rPr/>
      </w:pPr>
      <w:hyperlink r:id="rLink24">
        <w:r>
          <w:rPr>
            <w:color w:val="243B55"/>
            <w:u w:val="single"/>
          </w:rPr>
          <w:t xml:space="preserve">OMS y otras agencias de la ONU, Trends in Maternal Mortality 2000-2023 (2025)</w:t>
        </w:r>
      </w:hyperlink>
    </w:p>
    <w:p>
      <w:pPr>
        <w:pStyle w:val="normal1"/>
        <w:numPr>
          <w:ilvl w:val="0"/>
          <w:numId w:val="1"/>
        </w:numPr>
        <w:spacing w:before="0" w:after="60"/>
        <w:rPr/>
      </w:pPr>
      <w:hyperlink r:id="rLink25">
        <w:r>
          <w:rPr>
            <w:color w:val="243B55"/>
            <w:u w:val="single"/>
          </w:rPr>
          <w:t xml:space="preserve">OMS y UNICEF, agua y saneamiento 2000-2024 (agosto de 2025)</w:t>
        </w:r>
      </w:hyperlink>
    </w:p>
    <w:p>
      <w:pPr>
        <w:pStyle w:val="normal1"/>
        <w:numPr>
          <w:ilvl w:val="0"/>
          <w:numId w:val="1"/>
        </w:numPr>
        <w:spacing w:before="0" w:after="60"/>
        <w:rPr/>
      </w:pPr>
      <w:hyperlink r:id="rLink26">
        <w:r>
          <w:rPr>
            <w:color w:val="243B55"/>
            <w:u w:val="single"/>
          </w:rPr>
          <w:t xml:space="preserve">OMS, Comisión sobre Conexión Social (junio de 2025)</w:t>
        </w:r>
      </w:hyperlink>
      <w:r>
        <w:rPr/>
        <w:t xml:space="preserve">; </w:t>
      </w:r>
      <w:hyperlink r:id="rLink27">
        <w:r>
          <w:rPr>
            <w:color w:val="243B55"/>
            <w:u w:val="single"/>
          </w:rPr>
          <w:t xml:space="preserve">violencia contra las mujeres (noviembre de 2025)</w:t>
        </w:r>
      </w:hyperlink>
      <w:r>
        <w:rPr/>
        <w:t xml:space="preserve">; </w:t>
      </w:r>
      <w:hyperlink r:id="rLink28">
        <w:r>
          <w:rPr>
            <w:color w:val="243B55"/>
            <w:u w:val="single"/>
          </w:rPr>
          <w:t xml:space="preserve">personal sanitario</w:t>
        </w:r>
      </w:hyperlink>
      <w:r>
        <w:rPr/>
        <w:t xml:space="preserve">; </w:t>
      </w:r>
      <w:hyperlink r:id="rLink29">
        <w:r>
          <w:rPr>
            <w:color w:val="243B55"/>
            <w:u w:val="single"/>
          </w:rPr>
          <w:t xml:space="preserve">salud mental de los adolescentes</w:t>
        </w:r>
      </w:hyperlink>
    </w:p>
    <w:p>
      <w:pPr>
        <w:pStyle w:val="normal1"/>
        <w:numPr>
          <w:ilvl w:val="0"/>
          <w:numId w:val="1"/>
        </w:numPr>
        <w:spacing w:before="0" w:after="60"/>
        <w:rPr/>
      </w:pPr>
      <w:hyperlink r:id="rLink30">
        <w:r>
          <w:rPr>
            <w:color w:val="243B55"/>
            <w:u w:val="single"/>
          </w:rPr>
          <w:t xml:space="preserve">ONU, World Population Prospects 2024</w:t>
        </w:r>
      </w:hyperlink>
    </w:p>
    <w:p>
      <w:pPr>
        <w:pStyle w:val="normal1"/>
        <w:numPr>
          <w:ilvl w:val="0"/>
          <w:numId w:val="1"/>
        </w:numPr>
        <w:spacing w:before="0" w:after="60"/>
        <w:rPr/>
      </w:pPr>
      <w:hyperlink r:id="rLink31">
        <w:r>
          <w:rPr>
            <w:color w:val="243B55"/>
            <w:u w:val="single"/>
          </w:rPr>
          <w:t xml:space="preserve">ONU-Hábitat, estimaciones sobre vivienda (2025)</w:t>
        </w:r>
      </w:hyperlink>
    </w:p>
    <w:p>
      <w:pPr>
        <w:pStyle w:val="normal1"/>
        <w:numPr>
          <w:ilvl w:val="0"/>
          <w:numId w:val="1"/>
        </w:numPr>
        <w:spacing w:before="0" w:after="60"/>
        <w:rPr/>
      </w:pPr>
      <w:hyperlink r:id="rLink32">
        <w:r>
          <w:rPr>
            <w:color w:val="243B55"/>
            <w:u w:val="single"/>
          </w:rPr>
          <w:t xml:space="preserve">Oxfam, Resisting the Rule of the Rich (enero de 2026)</w:t>
        </w:r>
      </w:hyperlink>
    </w:p>
    <w:p>
      <w:pPr>
        <w:pStyle w:val="normal1"/>
        <w:numPr>
          <w:ilvl w:val="0"/>
          <w:numId w:val="1"/>
        </w:numPr>
        <w:spacing w:before="0" w:after="60"/>
        <w:rPr/>
      </w:pPr>
      <w:hyperlink r:id="rLink33">
        <w:r>
          <w:rPr>
            <w:color w:val="243B55"/>
            <w:u w:val="single"/>
          </w:rPr>
          <w:t xml:space="preserve">PNUMA, Emissions Gap Report 2025</w:t>
        </w:r>
      </w:hyperlink>
      <w:r>
        <w:rPr/>
        <w:t xml:space="preserve">; </w:t>
      </w:r>
      <w:hyperlink r:id="rLink34">
        <w:r>
          <w:rPr>
            <w:color w:val="243B55"/>
            <w:u w:val="single"/>
          </w:rPr>
          <w:t xml:space="preserve">Adaptation Gap Report 2025</w:t>
        </w:r>
      </w:hyperlink>
      <w:r>
        <w:rPr/>
        <w:t xml:space="preserve">; </w:t>
      </w:r>
      <w:hyperlink r:id="rLink35">
        <w:r>
          <w:rPr>
            <w:color w:val="243B55"/>
            <w:u w:val="single"/>
          </w:rPr>
          <w:t xml:space="preserve">Food Waste Index Report 2024</w:t>
        </w:r>
      </w:hyperlink>
      <w:r>
        <w:rPr/>
        <w:t xml:space="preserve">; </w:t>
      </w:r>
      <w:hyperlink r:id="rLink36">
        <w:r>
          <w:rPr>
            <w:color w:val="243B55"/>
            <w:u w:val="single"/>
          </w:rPr>
          <w:t xml:space="preserve">Global Resources Outlook 2024</w:t>
        </w:r>
      </w:hyperlink>
      <w:r>
        <w:rPr/>
        <w:t xml:space="preserve">; </w:t>
      </w:r>
      <w:hyperlink r:id="rLink37">
        <w:r>
          <w:rPr>
            <w:color w:val="243B55"/>
            <w:u w:val="single"/>
          </w:rPr>
          <w:t xml:space="preserve">Día Internacional de Cero Desechos 2025</w:t>
        </w:r>
      </w:hyperlink>
    </w:p>
    <w:p>
      <w:pPr>
        <w:pStyle w:val="normal1"/>
        <w:numPr>
          <w:ilvl w:val="0"/>
          <w:numId w:val="1"/>
        </w:numPr>
        <w:spacing w:before="0" w:after="60"/>
        <w:rPr/>
      </w:pPr>
      <w:hyperlink r:id="rLink38">
        <w:r>
          <w:rPr>
            <w:color w:val="243B55"/>
            <w:u w:val="single"/>
          </w:rPr>
          <w:t xml:space="preserve">SIPRI, gasto militar mundial 2025 (abril de 2026)</w:t>
        </w:r>
      </w:hyperlink>
      <w:r>
        <w:rPr/>
        <w:t xml:space="preserve">; </w:t>
      </w:r>
      <w:hyperlink r:id="rLink39">
        <w:r>
          <w:rPr>
            <w:color w:val="243B55"/>
            <w:u w:val="single"/>
          </w:rPr>
          <w:t xml:space="preserve">SIPRI Yearbook 2026</w:t>
        </w:r>
      </w:hyperlink>
    </w:p>
    <w:p>
      <w:pPr>
        <w:pStyle w:val="normal1"/>
        <w:numPr>
          <w:ilvl w:val="0"/>
          <w:numId w:val="1"/>
        </w:numPr>
        <w:spacing w:before="0" w:after="60"/>
        <w:rPr/>
      </w:pPr>
      <w:hyperlink r:id="rLink40">
        <w:r>
          <w:rPr>
            <w:color w:val="243B55"/>
            <w:u w:val="single"/>
          </w:rPr>
          <w:t xml:space="preserve">Stockholm Resilience Centre y PIK, Planetary Health Check 2025</w:t>
        </w:r>
      </w:hyperlink>
    </w:p>
    <w:p>
      <w:pPr>
        <w:pStyle w:val="normal1"/>
        <w:numPr>
          <w:ilvl w:val="0"/>
          <w:numId w:val="1"/>
        </w:numPr>
        <w:spacing w:before="0" w:after="60"/>
        <w:rPr/>
      </w:pPr>
      <w:hyperlink r:id="rLink41">
        <w:r>
          <w:rPr>
            <w:color w:val="243B55"/>
            <w:u w:val="single"/>
          </w:rPr>
          <w:t xml:space="preserve">Tracking SDG7, The Energy Progress Report 2026</w:t>
        </w:r>
      </w:hyperlink>
    </w:p>
    <w:p>
      <w:pPr>
        <w:pStyle w:val="normal1"/>
        <w:numPr>
          <w:ilvl w:val="0"/>
          <w:numId w:val="1"/>
        </w:numPr>
        <w:spacing w:before="0" w:after="60"/>
        <w:rPr/>
      </w:pPr>
      <w:hyperlink r:id="rLink42">
        <w:r>
          <w:rPr>
            <w:color w:val="243B55"/>
            <w:u w:val="single"/>
          </w:rPr>
          <w:t xml:space="preserve">UCDP, Universidad de Uppsala (junio de 2026)</w:t>
        </w:r>
      </w:hyperlink>
    </w:p>
    <w:p>
      <w:pPr>
        <w:pStyle w:val="normal1"/>
        <w:numPr>
          <w:ilvl w:val="0"/>
          <w:numId w:val="1"/>
        </w:numPr>
        <w:spacing w:before="0" w:after="60"/>
        <w:rPr/>
      </w:pPr>
      <w:hyperlink r:id="rLink43">
        <w:r>
          <w:rPr>
            <w:color w:val="243B55"/>
            <w:u w:val="single"/>
          </w:rPr>
          <w:t xml:space="preserve">UICN, Lista Roja de especies amenazadas (febrero de 2026)</w:t>
        </w:r>
      </w:hyperlink>
    </w:p>
    <w:p>
      <w:pPr>
        <w:pStyle w:val="normal1"/>
        <w:numPr>
          <w:ilvl w:val="0"/>
          <w:numId w:val="1"/>
        </w:numPr>
        <w:spacing w:before="0" w:after="60"/>
        <w:rPr/>
      </w:pPr>
      <w:hyperlink r:id="rLink44">
        <w:r>
          <w:rPr>
            <w:color w:val="243B55"/>
            <w:u w:val="single"/>
          </w:rPr>
          <w:t xml:space="preserve">UIT, Facts and Figures 2025</w:t>
        </w:r>
      </w:hyperlink>
    </w:p>
    <w:p>
      <w:pPr>
        <w:pStyle w:val="normal1"/>
        <w:numPr>
          <w:ilvl w:val="0"/>
          <w:numId w:val="1"/>
        </w:numPr>
        <w:spacing w:before="0" w:after="60"/>
        <w:rPr/>
      </w:pPr>
      <w:hyperlink r:id="rLink45">
        <w:r>
          <w:rPr>
            <w:color w:val="243B55"/>
            <w:u w:val="single"/>
          </w:rPr>
          <w:t xml:space="preserve">UN IGME, Levels and Trends in Child Mortality (marzo de 2026)</w:t>
        </w:r>
      </w:hyperlink>
      <w:r>
        <w:rPr/>
        <w:t xml:space="preserve">; </w:t>
      </w:r>
      <w:hyperlink r:id="rLink46">
        <w:r>
          <w:rPr>
            <w:color w:val="243B55"/>
            <w:u w:val="single"/>
          </w:rPr>
          <w:t xml:space="preserve">serie histórica de UNICEF</w:t>
        </w:r>
      </w:hyperlink>
    </w:p>
    <w:p>
      <w:pPr>
        <w:pStyle w:val="normal1"/>
        <w:numPr>
          <w:ilvl w:val="0"/>
          <w:numId w:val="1"/>
        </w:numPr>
        <w:spacing w:before="0" w:after="60"/>
        <w:rPr/>
      </w:pPr>
      <w:hyperlink r:id="rLink47">
        <w:r>
          <w:rPr>
            <w:color w:val="243B55"/>
            <w:u w:val="single"/>
          </w:rPr>
          <w:t xml:space="preserve">UNCTAD, Global Trade Update (diciembre de 2025)</w:t>
        </w:r>
      </w:hyperlink>
    </w:p>
    <w:p>
      <w:pPr>
        <w:pStyle w:val="normal1"/>
        <w:numPr>
          <w:ilvl w:val="0"/>
          <w:numId w:val="1"/>
        </w:numPr>
        <w:spacing w:before="0" w:after="60"/>
        <w:rPr/>
      </w:pPr>
      <w:hyperlink r:id="rLink48">
        <w:r>
          <w:rPr>
            <w:color w:val="243B55"/>
            <w:u w:val="single"/>
          </w:rPr>
          <w:t xml:space="preserve">UNESCO, datos sobre menores fuera de la escuela (2026)</w:t>
        </w:r>
      </w:hyperlink>
    </w:p>
    <w:p>
      <w:pPr>
        <w:pStyle w:val="normal1"/>
        <w:numPr>
          <w:ilvl w:val="0"/>
          <w:numId w:val="1"/>
        </w:numPr>
        <w:spacing w:before="0" w:after="60"/>
        <w:rPr/>
      </w:pPr>
      <w:hyperlink r:id="rLink49">
        <w:r>
          <w:rPr>
            <w:color w:val="243B55"/>
            <w:u w:val="single"/>
          </w:rPr>
          <w:t xml:space="preserve">World Inequality Report 2026</w:t>
        </w:r>
      </w:hyperlink>
    </w:p>
    <w:p>
      <w:pPr>
        <w:pStyle w:val="normal1"/>
        <w:numPr>
          <w:ilvl w:val="0"/>
          <w:numId w:val="1"/>
        </w:numPr>
        <w:spacing w:before="0" w:after="160"/>
        <w:rPr/>
      </w:pPr>
      <w:hyperlink r:id="rLink50">
        <w:r>
          <w:rPr>
            <w:color w:val="243B55"/>
            <w:u w:val="single"/>
          </w:rPr>
          <w:t xml:space="preserve">WWF, Living Planet Report 2024</w:t>
        </w:r>
      </w:hyperlink>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Link1" Type="http://schemas.openxmlformats.org/officeDocument/2006/relationships/hyperlink" Target="https://www.unrefugees.org/news/2026/6/five-takeaways-from-the-2025-unhcr-global-trends-report/" TargetMode="External"/><Relationship Id="rLink2" Type="http://schemas.openxmlformats.org/officeDocument/2006/relationships/hyperlink" Target="https://www.worldbank.org/en/news/factsheet/2025/06/05/june-2025-update-to-global-poverty-lines" TargetMode="External"/><Relationship Id="rLink3" Type="http://schemas.openxmlformats.org/officeDocument/2006/relationships/hyperlink" Target="https://humanprogress.org/global-extreme-poverty-rate-fell-from-2022-to-2025/" TargetMode="External"/><Relationship Id="rLink4" Type="http://schemas.openxmlformats.org/officeDocument/2006/relationships/hyperlink" Target="https://www.coe.int/web/prison/-/serious-overcrowding-and-increasing-proportions-of-older-and-women-detainees-in-european-prisons" TargetMode="External"/><Relationship Id="rLink5" Type="http://schemas.openxmlformats.org/officeDocument/2006/relationships/hyperlink" Target="https://ember-energy.org/latest-insights/global-electricity-review-2026/" TargetMode="External"/><Relationship Id="rLink6" Type="http://schemas.openxmlformats.org/officeDocument/2006/relationships/hyperlink" Target="https://ec.europa.eu/eurostat/web/products-eurostat-news/w/ddn-20250704-4" TargetMode="External"/><Relationship Id="rLink7" Type="http://schemas.openxmlformats.org/officeDocument/2006/relationships/hyperlink" Target="https://www.unicef.ca/en/press-release/un-report-global-hunger-levels-ease-third-consecutive-year-regional-disparities" TargetMode="External"/><Relationship Id="rLink8" Type="http://schemas.openxmlformats.org/officeDocument/2006/relationships/hyperlink" Target="https://www.fao.org/newsroom/detail/global-deforestation-slows--but-forests-remain-under-pressure--fao-report-shows/en" TargetMode="External"/><Relationship Id="rLink9" Type="http://schemas.openxmlformats.org/officeDocument/2006/relationships/hyperlink" Target="https://www.admin-it.io/ai-related-vulnerabilities-cited-as-fastest-growing-cybersecurity-risk-in-wef-report/" TargetMode="External"/><Relationship Id="rLink10" Type="http://schemas.openxmlformats.org/officeDocument/2006/relationships/hyperlink" Target="https://www.imf.org/external/datamapper/GDD/2025%20Global%20Debt%20Monitor.pdf" TargetMode="External"/><Relationship Id="rLink11" Type="http://schemas.openxmlformats.org/officeDocument/2006/relationships/hyperlink" Target="https://freedomhouse.org/article/new-report-global-freedom-declined-20th-consecutive-year-2025" TargetMode="External"/><Relationship Id="rLink12" Type="http://schemas.openxmlformats.org/officeDocument/2006/relationships/hyperlink" Target="https://globalcarbonbudget.org/fossil-fuel-co2-emissions-hit-record-high-in-2025/" TargetMode="External"/><Relationship Id="rLink13" Type="http://schemas.openxmlformats.org/officeDocument/2006/relationships/hyperlink" Target="https://solarquarter.com/2026/04/01/irena-reports-global-renewable-capacity-hits-5149-gw-in-2025-s-world-adds-record-692-gw/" TargetMode="External"/><Relationship Id="rLink14" Type="http://schemas.openxmlformats.org/officeDocument/2006/relationships/hyperlink" Target="https://www.oecd.org/en/about/news/press-releases/2026/06/trust-steadies-but-people-still-do-not-feel-heard-oecd-trust-survey.html" TargetMode="External"/><Relationship Id="rLink15" Type="http://schemas.openxmlformats.org/officeDocument/2006/relationships/hyperlink" Target="https://www.agenzianova.com/en/news/in-2050-there-will-be-52-elderly-people-for-every-100-people-under-65/" TargetMode="External"/><Relationship Id="rLink16" Type="http://schemas.openxmlformats.org/officeDocument/2006/relationships/hyperlink" Target="https://valtioneuvosto.fi/en/-/2025-saw-historic-decline-in-international-development-finance" TargetMode="External"/><Relationship Id="rLink17" Type="http://schemas.openxmlformats.org/officeDocument/2006/relationships/hyperlink" Target="https://africanews.com/2025/06/11/138-million-child-workers-globally-in-2024-number-down-from-2020/" TargetMode="External"/><Relationship Id="rLink18" Type="http://schemas.openxmlformats.org/officeDocument/2006/relationships/hyperlink" Target="https://janataweekly.org/more-than-2-1-billion-of-worlds-3-6-billion-workers-are-in-the-informal-economy/" TargetMode="External"/><Relationship Id="rLink19" Type="http://schemas.openxmlformats.org/officeDocument/2006/relationships/hyperlink" Target="https://www.ungeneva.org/en/news-media/news/2024/11/100793/wages-are-recovering-after-negative-shift-2022-says-un-labour-agency" TargetMode="External"/><Relationship Id="rLink20" Type="http://schemas.openxmlformats.org/officeDocument/2006/relationships/hyperlink" Target="https://www.ilo.org/resource/news/one-four-jobs-risk-being-transformed-genai-new-ilo&#8211;nask-global-index-shows" TargetMode="External"/><Relationship Id="rLink21" Type="http://schemas.openxmlformats.org/officeDocument/2006/relationships/hyperlink" Target="https://www.iom.int/news/50-million-people-worldwide-modern-slavery" TargetMode="External"/><Relationship Id="rLink22" Type="http://schemas.openxmlformats.org/officeDocument/2006/relationships/hyperlink" Target="https://public.wmo.int/node/38189" TargetMode="External"/><Relationship Id="rLink23" Type="http://schemas.openxmlformats.org/officeDocument/2006/relationships/hyperlink" Target="https://wmo.int/node/31303" TargetMode="External"/><Relationship Id="rLink24" Type="http://schemas.openxmlformats.org/officeDocument/2006/relationships/hyperlink" Target="https://www.unfpa.org/publications/trends-maternal-mortality-2000-2023" TargetMode="External"/><Relationship Id="rLink25" Type="http://schemas.openxmlformats.org/officeDocument/2006/relationships/hyperlink" Target="https://www.who.int/news/item/26-08-2025-1-in-4-people-globally-still-lack-access-to-safe-drinking-water---who--unicef" TargetMode="External"/><Relationship Id="rLink26" Type="http://schemas.openxmlformats.org/officeDocument/2006/relationships/hyperlink" Target="https://who.int/news/item/30-06-2025-social-connection-linked-to-improved-heath-and-reduced-risk-of-early-death" TargetMode="External"/><Relationship Id="rLink27" Type="http://schemas.openxmlformats.org/officeDocument/2006/relationships/hyperlink" Target="https://www.who.int/news/item/19-11-2025-lifetime-toll--840-million-women-faced-partner-or-sexual-violence" TargetMode="External"/><Relationship Id="rLink28" Type="http://schemas.openxmlformats.org/officeDocument/2006/relationships/hyperlink" Target="https://www.who.int/health-topics/health-workforce" TargetMode="External"/><Relationship Id="rLink29" Type="http://schemas.openxmlformats.org/officeDocument/2006/relationships/hyperlink" Target="https://www.who.int/news-room/fact-sheets/detail/mental-health-of-adolescents" TargetMode="External"/><Relationship Id="rLink30" Type="http://schemas.openxmlformats.org/officeDocument/2006/relationships/hyperlink" Target="https://www.un.org/sustainabledevelopment/blog/2024/07/press-release-wpp2024/" TargetMode="External"/><Relationship Id="rLink31" Type="http://schemas.openxmlformats.org/officeDocument/2006/relationships/hyperlink" Target="https://social.desa.un.org/world-summit-2025/blog/300million-people-homeless-worldwide" TargetMode="External"/><Relationship Id="rLink32" Type="http://schemas.openxmlformats.org/officeDocument/2006/relationships/hyperlink" Target="https://www.finews.asia/finance/44581-oxfam-billionaires-world-economic-forum" TargetMode="External"/><Relationship Id="rLink33" Type="http://schemas.openxmlformats.org/officeDocument/2006/relationships/hyperlink" Target="https://unep.org/resources/emissions-gap-report-2025" TargetMode="External"/><Relationship Id="rLink34" Type="http://schemas.openxmlformats.org/officeDocument/2006/relationships/hyperlink" Target="https://www.unep.org/resources/adaptation-gap-report-2025" TargetMode="External"/><Relationship Id="rLink35" Type="http://schemas.openxmlformats.org/officeDocument/2006/relationships/hyperlink" Target="https://news.un.org/en/node/1148036" TargetMode="External"/><Relationship Id="rLink36" Type="http://schemas.openxmlformats.org/officeDocument/2006/relationships/hyperlink" Target="https://resourcepanel.org/news-events/global-resources-outlook-2024-press-release" TargetMode="External"/><Relationship Id="rLink37" Type="http://schemas.openxmlformats.org/officeDocument/2006/relationships/hyperlink" Target="https://unep.org/events/un-day/international-day-zero-waste-2025" TargetMode="External"/><Relationship Id="rLink38" Type="http://schemas.openxmlformats.org/officeDocument/2006/relationships/hyperlink" Target="https://www.eurointegration.com.ua/eng/news/2026/04/27/7236309/" TargetMode="External"/><Relationship Id="rLink39" Type="http://schemas.openxmlformats.org/officeDocument/2006/relationships/hyperlink" Target="https://defence-blog.com/?p=100928" TargetMode="External"/><Relationship Id="rLink40" Type="http://schemas.openxmlformats.org/officeDocument/2006/relationships/hyperlink" Target="https://www.stockholmresilience.org/news--events/general-news/2025-09-24-seven-of-nine-planetary-boundaries-now-breached" TargetMode="External"/><Relationship Id="rLink41" Type="http://schemas.openxmlformats.org/officeDocument/2006/relationships/hyperlink" Target="https://www.pveurope.eu/markets/un-report-655-million-people-still-lack-electricity-access" TargetMode="External"/><Relationship Id="rLink42" Type="http://schemas.openxmlformats.org/officeDocument/2006/relationships/hyperlink" Target="https://www.mynewsdesk.com/uu/pressreleases/ucdp-record-number-of-conflicts-between-states-3453043" TargetMode="External"/><Relationship Id="rLink43" Type="http://schemas.openxmlformats.org/officeDocument/2006/relationships/hyperlink" Target="https://noticiasambientales.com/environment-en/last-year-44-species-were-declared-extinct-and-48600-more-are-still-endangered-according-to-the-iucn-red-list/" TargetMode="External"/><Relationship Id="rLink44" Type="http://schemas.openxmlformats.org/officeDocument/2006/relationships/hyperlink" Target="https://www.itu.int/en/mediacentre/Pages/PR-2025-11-17-Facts-and-Figures.aspx" TargetMode="External"/><Relationship Id="rLink45" Type="http://schemas.openxmlformats.org/officeDocument/2006/relationships/hyperlink" Target="https://www.unicef.org/press-releases/progress-reducing-child-deaths-slows-49-million-children-under-five-die-2024" TargetMode="External"/><Relationship Id="rLink46" Type="http://schemas.openxmlformats.org/officeDocument/2006/relationships/hyperlink" Target="https://data.unicef.org/topic/child-survival/under-five-mortality/" TargetMode="External"/><Relationship Id="rLink47" Type="http://schemas.openxmlformats.org/officeDocument/2006/relationships/hyperlink" Target="https://unctad.org/news/global-trade-hit-record-35-trillion-despite-slowing-momentum" TargetMode="External"/><Relationship Id="rLink48" Type="http://schemas.openxmlformats.org/officeDocument/2006/relationships/hyperlink" Target="https://www.bluewin.ch/en/news/international/un-273-million-children-and-young-people-without-access-to-school-li.3160861" TargetMode="External"/><Relationship Id="rLink49" Type="http://schemas.openxmlformats.org/officeDocument/2006/relationships/hyperlink" Target="https://www.socialjustice.ie/node/7308" TargetMode="External"/><Relationship Id="rLink50" Type="http://schemas.openxmlformats.org/officeDocument/2006/relationships/hyperlink" Target="https://www.worldwildlife.org/press-releases/catastrophic-73-decline-in-the-average-size-of-global-wildlife-populations-in-just-50-years-reveals-a-system-in-peril" TargetMode="External"/></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