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120"/>
        <w:rPr/>
      </w:pPr>
      <w:r>
        <w:rPr/>
        <w:t xml:space="preserve">ANALYSE DU PRÉSENT</w:t>
      </w:r>
    </w:p>
    <w:p>
      <w:pPr>
        <w:pStyle w:val="Heading1"/>
        <w:rPr/>
      </w:pPr>
      <w:r>
        <w:rPr/>
        <w:t xml:space="preserve">Vue d’ensemble</w:t>
      </w:r>
    </w:p>
    <w:p>
      <w:pPr>
        <w:pStyle w:val="normal1"/>
        <w:spacing w:before="0" w:after="160"/>
        <w:rPr/>
      </w:pPr>
      <w:r>
        <w:rPr/>
        <w:t xml:space="preserve">Ce document décrit le présent à travers des données publiques et vérifiables. Les phénomènes économiques, démographiques, sociaux, institutionnels et environnementaux sont imbriqués et ne peuvent pas être compris comme des compartiments étanches. L’analyse se concentre surtout sur ce qui ne fonctionne pas, parce que c’est de là que naît le besoin d’une alternative ; les progrès ne sont pas niés : ils sont présentés à côté des points critiques, thème par thème. Ils sont réels et documentés par les mêmes sources ; plusieurs d’entre eux, cependant, sont en train de ralentir. Chaque donnée indique la source et l’année de publication. Les estimations et les projections sont signalées comme telles ; la dernière partie est une lecture des données, pas une donnée.</w:t>
      </w:r>
    </w:p>
    <w:p>
      <w:pPr>
        <w:pStyle w:val="Heading1"/>
        <w:rPr/>
      </w:pPr>
      <w:r>
        <w:rPr/>
        <w:t xml:space="preserve">Première partie — Les données</w:t>
      </w:r>
    </w:p>
    <w:p>
      <w:pPr>
        <w:pStyle w:val="Heading2"/>
        <w:rPr/>
      </w:pPr>
      <w:r>
        <w:rPr/>
        <w:t xml:space="preserve">1. Inégalités, pauvreté et faim</w:t>
      </w:r>
    </w:p>
    <w:p>
      <w:pPr>
        <w:pStyle w:val="normal1"/>
        <w:numPr>
          <w:ilvl w:val="0"/>
          <w:numId w:val="1"/>
        </w:numPr>
        <w:spacing w:before="0" w:after="60"/>
        <w:rPr/>
      </w:pPr>
      <w:r>
        <w:rPr>
          <w:b/>
        </w:rPr>
        <w:t xml:space="preserve">Concentration de la richesse</w:t>
      </w:r>
      <w:r>
        <w:rPr/>
        <w:t xml:space="preserve"> : Les 10 % les plus riches de la population mondiale possèdent environ </w:t>
      </w:r>
      <w:r>
        <w:rPr>
          <w:b/>
        </w:rPr>
        <w:t xml:space="preserve">75 % de la richesse</w:t>
      </w:r>
      <w:r>
        <w:rPr/>
        <w:t xml:space="preserve"> ; la moitié la plus pauvre, environ 2 % </w:t>
      </w:r>
      <w:r>
        <w:rPr>
          <w:color w:val="707070"/>
          <w:sz w:val="18"/>
        </w:rPr>
        <w:t xml:space="preserve">(World Inequality Report 2026)</w:t>
      </w:r>
      <w:r>
        <w:rPr/>
        <w:t xml:space="preserve">. Le patrimoine des milliardaires a atteint </w:t>
      </w:r>
      <w:r>
        <w:rPr>
          <w:b/>
        </w:rPr>
        <w:t xml:space="preserve">18 300 milliards de dollars</w:t>
      </w:r>
      <w:r>
        <w:rPr/>
        <w:t xml:space="preserve"> en 2025 : +16 % en un an, +81 % depuis 2020 </w:t>
      </w:r>
      <w:r>
        <w:rPr>
          <w:color w:val="707070"/>
          <w:sz w:val="18"/>
        </w:rPr>
        <w:t xml:space="preserve">(Oxfam, 2026)</w:t>
      </w:r>
      <w:r>
        <w:rPr/>
        <w:t xml:space="preserve">.</w:t>
      </w:r>
    </w:p>
    <w:p>
      <w:pPr>
        <w:pStyle w:val="normal1"/>
        <w:numPr>
          <w:ilvl w:val="0"/>
          <w:numId w:val="1"/>
        </w:numPr>
        <w:spacing w:before="0" w:after="60"/>
        <w:rPr/>
      </w:pPr>
      <w:r>
        <w:rPr>
          <w:b/>
        </w:rPr>
        <w:t xml:space="preserve">Pauvreté extrême</w:t>
      </w:r>
      <w:r>
        <w:rPr/>
        <w:t xml:space="preserve"> : Entre 1990 et 2022, environ </w:t>
      </w:r>
      <w:r>
        <w:rPr>
          <w:b/>
        </w:rPr>
        <w:t xml:space="preserve">1,5 milliard de personnes</w:t>
      </w:r>
      <w:r>
        <w:rPr/>
        <w:t xml:space="preserve"> en sont sorties, mais la réduction est presque à l’arrêt : en 2022, </w:t>
      </w:r>
      <w:r>
        <w:rPr>
          <w:b/>
        </w:rPr>
        <w:t xml:space="preserve">838 millions de personnes</w:t>
      </w:r>
      <w:r>
        <w:rPr/>
        <w:t xml:space="preserve"> vivaient encore avec moins de 3 dollars par jour, 10,5 % de la population mondiale, et l’estimation pour 2025 est de 9,9 % </w:t>
      </w:r>
      <w:r>
        <w:rPr>
          <w:color w:val="707070"/>
          <w:sz w:val="18"/>
        </w:rPr>
        <w:t xml:space="preserve">(Banque mondiale, 2025)</w:t>
      </w:r>
      <w:r>
        <w:rPr/>
        <w:t xml:space="preserve">.</w:t>
      </w:r>
    </w:p>
    <w:p>
      <w:pPr>
        <w:pStyle w:val="normal1"/>
        <w:numPr>
          <w:ilvl w:val="0"/>
          <w:numId w:val="1"/>
        </w:numPr>
        <w:spacing w:before="0" w:after="60"/>
        <w:rPr/>
      </w:pPr>
      <w:r>
        <w:rPr>
          <w:b/>
        </w:rPr>
        <w:t xml:space="preserve">Faim</w:t>
      </w:r>
      <w:r>
        <w:rPr/>
        <w:t xml:space="preserve"> : En 2025, environ </w:t>
      </w:r>
      <w:r>
        <w:rPr>
          <w:b/>
        </w:rPr>
        <w:t xml:space="preserve">645 millions de personnes</w:t>
      </w:r>
      <w:r>
        <w:rPr/>
        <w:t xml:space="preserve"> ont souffert de la faim, </w:t>
      </w:r>
      <w:r>
        <w:rPr>
          <w:b/>
        </w:rPr>
        <w:t xml:space="preserve">7,8 %</w:t>
      </w:r>
      <w:r>
        <w:rPr/>
        <w:t xml:space="preserve"> de la population : c’était 8,6 % en 2022 et c’est la troisième année consécutive de baisse. En Afrique, une personne sur cinq en souffre. </w:t>
      </w:r>
      <w:r>
        <w:rPr>
          <w:b/>
        </w:rPr>
        <w:t xml:space="preserve">2,69 milliards</w:t>
      </w:r>
      <w:r>
        <w:rPr/>
        <w:t xml:space="preserve"> ne peuvent pas se permettre une alimentation saine </w:t>
      </w:r>
      <w:r>
        <w:rPr>
          <w:color w:val="707070"/>
          <w:sz w:val="18"/>
        </w:rPr>
        <w:t xml:space="preserve">(FAO et autres agences de l’ONU, SOFI 2026)</w:t>
      </w:r>
      <w:r>
        <w:rPr/>
        <w:t xml:space="preserve">.</w:t>
      </w:r>
    </w:p>
    <w:p>
      <w:pPr>
        <w:pStyle w:val="normal1"/>
        <w:numPr>
          <w:ilvl w:val="0"/>
          <w:numId w:val="1"/>
        </w:numPr>
        <w:spacing w:before="0" w:after="160"/>
        <w:rPr/>
      </w:pPr>
      <w:r>
        <w:rPr>
          <w:b/>
        </w:rPr>
        <w:t xml:space="preserve">Logement</w:t>
      </w:r>
      <w:r>
        <w:rPr/>
        <w:t xml:space="preserve"> : Dans l’UE, entre 2010 et le début de 2025, les prix des logements ont augmenté de </w:t>
      </w:r>
      <w:r>
        <w:rPr>
          <w:b/>
        </w:rPr>
        <w:t xml:space="preserve">57,9 %</w:t>
      </w:r>
      <w:r>
        <w:rPr/>
        <w:t xml:space="preserve"> et les loyers de 27,8 % </w:t>
      </w:r>
      <w:r>
        <w:rPr>
          <w:color w:val="707070"/>
          <w:sz w:val="18"/>
        </w:rPr>
        <w:t xml:space="preserve">(Eurostat, 2025)</w:t>
      </w:r>
      <w:r>
        <w:rPr/>
        <w:t xml:space="preserve">. Dans le monde, environ 2,8 milliards de personnes n’ont pas de logement convenable et 318 millions sont sans abri </w:t>
      </w:r>
      <w:r>
        <w:rPr>
          <w:color w:val="707070"/>
          <w:sz w:val="18"/>
        </w:rPr>
        <w:t xml:space="preserve">(estimations d’ONU-Habitat, 2025)</w:t>
      </w:r>
      <w:r>
        <w:rPr/>
        <w:t xml:space="preserve">.</w:t>
      </w:r>
    </w:p>
    <w:p>
      <w:pPr>
        <w:pStyle w:val="Heading2"/>
        <w:rPr/>
      </w:pPr>
      <w:r>
        <w:rPr/>
        <w:t xml:space="preserve">2. Travail</w:t>
      </w:r>
    </w:p>
    <w:p>
      <w:pPr>
        <w:pStyle w:val="normal1"/>
        <w:numPr>
          <w:ilvl w:val="0"/>
          <w:numId w:val="1"/>
        </w:numPr>
        <w:spacing w:before="0" w:after="60"/>
        <w:rPr/>
      </w:pPr>
      <w:r>
        <w:rPr>
          <w:b/>
        </w:rPr>
        <w:t xml:space="preserve">Travail et salaires</w:t>
      </w:r>
      <w:r>
        <w:rPr/>
        <w:t xml:space="preserve"> : Plus de </w:t>
      </w:r>
      <w:r>
        <w:rPr>
          <w:b/>
        </w:rPr>
        <w:t xml:space="preserve">2,1 milliards de travailleurs</w:t>
      </w:r>
      <w:r>
        <w:rPr/>
        <w:t xml:space="preserve"> sur 3,6, près de 58 %, ont un emploi informel, sans protection </w:t>
      </w:r>
      <w:r>
        <w:rPr>
          <w:color w:val="707070"/>
          <w:sz w:val="18"/>
        </w:rPr>
        <w:t xml:space="preserve">(OIT, 2026)</w:t>
      </w:r>
      <w:r>
        <w:rPr/>
        <w:t xml:space="preserve">. Dans les pays à revenu élevé, entre 1999 et 2024, la productivité a augmenté de 29 % et les salaires réels de 15 % </w:t>
      </w:r>
      <w:r>
        <w:rPr>
          <w:color w:val="707070"/>
          <w:sz w:val="18"/>
        </w:rPr>
        <w:t xml:space="preserve">(OIT, Global Wage Report 2024-25)</w:t>
      </w:r>
      <w:r>
        <w:rPr/>
        <w:t xml:space="preserve">.</w:t>
      </w:r>
    </w:p>
    <w:p>
      <w:pPr>
        <w:pStyle w:val="normal1"/>
        <w:numPr>
          <w:ilvl w:val="0"/>
          <w:numId w:val="1"/>
        </w:numPr>
        <w:spacing w:before="0" w:after="60"/>
        <w:rPr/>
      </w:pPr>
      <w:r>
        <w:rPr>
          <w:b/>
        </w:rPr>
        <w:t xml:space="preserve">Technologie et emploi</w:t>
      </w:r>
      <w:r>
        <w:rPr/>
        <w:t xml:space="preserve"> : </w:t>
      </w:r>
      <w:r>
        <w:rPr>
          <w:b/>
        </w:rPr>
        <w:t xml:space="preserve">25 % de l’emploi mondial</w:t>
      </w:r>
      <w:r>
        <w:rPr/>
        <w:t xml:space="preserve">, et 34 % dans les pays à revenu élevé, relève de professions exposées à l’IA générative. On attend surtout une transformation des tâches : le remplacement complet reste limité </w:t>
      </w:r>
      <w:r>
        <w:rPr>
          <w:color w:val="707070"/>
          <w:sz w:val="18"/>
        </w:rPr>
        <w:t xml:space="preserve">(estimation de l’OIT, 2025)</w:t>
      </w:r>
      <w:r>
        <w:rPr/>
        <w:t xml:space="preserve">.</w:t>
      </w:r>
    </w:p>
    <w:p>
      <w:pPr>
        <w:pStyle w:val="normal1"/>
        <w:numPr>
          <w:ilvl w:val="0"/>
          <w:numId w:val="1"/>
        </w:numPr>
        <w:spacing w:before="0" w:after="160"/>
        <w:rPr/>
      </w:pPr>
      <w:r>
        <w:rPr>
          <w:b/>
        </w:rPr>
        <w:t xml:space="preserve">Exploitation et travail des enfants</w:t>
      </w:r>
      <w:r>
        <w:rPr/>
        <w:t xml:space="preserve"> : En 2021, </w:t>
      </w:r>
      <w:r>
        <w:rPr>
          <w:b/>
        </w:rPr>
        <w:t xml:space="preserve">50 millions de personnes</w:t>
      </w:r>
      <w:r>
        <w:rPr/>
        <w:t xml:space="preserve"> vivaient dans des conditions d’esclavage moderne, 10 millions de plus qu’en 2016 </w:t>
      </w:r>
      <w:r>
        <w:rPr>
          <w:color w:val="707070"/>
          <w:sz w:val="18"/>
        </w:rPr>
        <w:t xml:space="preserve">(estimation de l’OIT, de l’OIM et de Walk Free, 2022)</w:t>
      </w:r>
      <w:r>
        <w:rPr/>
        <w:t xml:space="preserve">. En 2024, </w:t>
      </w:r>
      <w:r>
        <w:rPr>
          <w:b/>
        </w:rPr>
        <w:t xml:space="preserve">138 millions d’enfants</w:t>
      </w:r>
      <w:r>
        <w:rPr/>
        <w:t xml:space="preserve"> travaillaient, dont 54 millions dans des activités dangereuses : plus de </w:t>
      </w:r>
      <w:r>
        <w:rPr>
          <w:b/>
        </w:rPr>
        <w:t xml:space="preserve">20 millions de moins</w:t>
      </w:r>
      <w:r>
        <w:rPr/>
        <w:t xml:space="preserve"> qu’en 2020 </w:t>
      </w:r>
      <w:r>
        <w:rPr>
          <w:color w:val="707070"/>
          <w:sz w:val="18"/>
        </w:rPr>
        <w:t xml:space="preserve">(OIT et UNICEF, 2025)</w:t>
      </w:r>
      <w:r>
        <w:rPr/>
        <w:t xml:space="preserve">.</w:t>
      </w:r>
    </w:p>
    <w:p>
      <w:pPr>
        <w:pStyle w:val="Heading2"/>
        <w:rPr/>
      </w:pPr>
      <w:r>
        <w:rPr/>
        <w:t xml:space="preserve">3. Population, santé et éducation</w:t>
      </w:r>
    </w:p>
    <w:p>
      <w:pPr>
        <w:pStyle w:val="normal1"/>
        <w:numPr>
          <w:ilvl w:val="0"/>
          <w:numId w:val="1"/>
        </w:numPr>
        <w:spacing w:before="0" w:after="60"/>
        <w:rPr/>
      </w:pPr>
      <w:r>
        <w:rPr>
          <w:b/>
        </w:rPr>
        <w:t xml:space="preserve">Population</w:t>
      </w:r>
      <w:r>
        <w:rPr/>
        <w:t xml:space="preserve"> : 8,2 milliards de personnes en 2024 ; pic prévu d’environ </w:t>
      </w:r>
      <w:r>
        <w:rPr>
          <w:b/>
        </w:rPr>
        <w:t xml:space="preserve">10,3 milliards</w:t>
      </w:r>
      <w:r>
        <w:rPr/>
        <w:t xml:space="preserve"> au milieu des années 2080 </w:t>
      </w:r>
      <w:r>
        <w:rPr>
          <w:color w:val="707070"/>
          <w:sz w:val="18"/>
        </w:rPr>
        <w:t xml:space="preserve">(projection de l’ONU, World Population Prospects 2024)</w:t>
      </w:r>
      <w:r>
        <w:rPr/>
        <w:t xml:space="preserve">. Dans les pays de l’OCDE, le nombre de personnes de plus de 65 ans pour 100 personnes en âge de travailler passera de </w:t>
      </w:r>
      <w:r>
        <w:rPr>
          <w:b/>
        </w:rPr>
        <w:t xml:space="preserve">33 en 2025 à 52 en 2050</w:t>
      </w:r>
      <w:r>
        <w:rPr/>
        <w:t xml:space="preserve">, ce qui mettra sous pression les retraites et la protection sociale </w:t>
      </w:r>
      <w:r>
        <w:rPr>
          <w:color w:val="707070"/>
          <w:sz w:val="18"/>
        </w:rPr>
        <w:t xml:space="preserve">(projection de l’OCDE, Pensions at a Glance 2025)</w:t>
      </w:r>
      <w:r>
        <w:rPr/>
        <w:t xml:space="preserve">.</w:t>
      </w:r>
    </w:p>
    <w:p>
      <w:pPr>
        <w:pStyle w:val="normal1"/>
        <w:numPr>
          <w:ilvl w:val="0"/>
          <w:numId w:val="1"/>
        </w:numPr>
        <w:spacing w:before="0" w:after="60"/>
        <w:rPr/>
      </w:pPr>
      <w:r>
        <w:rPr>
          <w:b/>
        </w:rPr>
        <w:t xml:space="preserve">Espérance de vie</w:t>
      </w:r>
      <w:r>
        <w:rPr/>
        <w:t xml:space="preserve"> : </w:t>
      </w:r>
      <w:r>
        <w:rPr>
          <w:b/>
        </w:rPr>
        <w:t xml:space="preserve">73,3 ans</w:t>
      </w:r>
      <w:r>
        <w:rPr/>
        <w:t xml:space="preserve"> en 2024, après la baisse à 70,9 pendant la pandémie </w:t>
      </w:r>
      <w:r>
        <w:rPr>
          <w:color w:val="707070"/>
          <w:sz w:val="18"/>
        </w:rPr>
        <w:t xml:space="preserve">(ONU, World Population Prospects 2024)</w:t>
      </w:r>
      <w:r>
        <w:rPr/>
        <w:t xml:space="preserve">.</w:t>
      </w:r>
    </w:p>
    <w:p>
      <w:pPr>
        <w:pStyle w:val="normal1"/>
        <w:numPr>
          <w:ilvl w:val="0"/>
          <w:numId w:val="1"/>
        </w:numPr>
        <w:spacing w:before="0" w:after="60"/>
        <w:rPr/>
      </w:pPr>
      <w:r>
        <w:rPr>
          <w:b/>
        </w:rPr>
        <w:t xml:space="preserve">Mortalité infantile</w:t>
      </w:r>
      <w:r>
        <w:rPr/>
        <w:t xml:space="preserve"> : Entre 1990 et 2024, elle a baissé de </w:t>
      </w:r>
      <w:r>
        <w:rPr>
          <w:b/>
        </w:rPr>
        <w:t xml:space="preserve">60 %</w:t>
      </w:r>
      <w:r>
        <w:rPr/>
        <w:t xml:space="preserve"> : de 93,5 à 37,4 décès avant cinq ans pour 1 000 naissances, c’est-à-dire d’un enfant sur 11 à un sur 27. En 2024, </w:t>
      </w:r>
      <w:r>
        <w:rPr>
          <w:b/>
        </w:rPr>
        <w:t xml:space="preserve">4,9 millions d’enfants</w:t>
      </w:r>
      <w:r>
        <w:rPr/>
        <w:t xml:space="preserve"> de moins de cinq ans sont pourtant morts et, depuis 2015, le rythme de la baisse a ralenti de plus de 60 % </w:t>
      </w:r>
      <w:r>
        <w:rPr>
          <w:color w:val="707070"/>
          <w:sz w:val="18"/>
        </w:rPr>
        <w:t xml:space="preserve">(UN IGME, 2026)</w:t>
      </w:r>
      <w:r>
        <w:rPr/>
        <w:t xml:space="preserve">.</w:t>
      </w:r>
    </w:p>
    <w:p>
      <w:pPr>
        <w:pStyle w:val="normal1"/>
        <w:numPr>
          <w:ilvl w:val="0"/>
          <w:numId w:val="1"/>
        </w:numPr>
        <w:spacing w:before="0" w:after="60"/>
        <w:rPr/>
      </w:pPr>
      <w:r>
        <w:rPr>
          <w:b/>
        </w:rPr>
        <w:t xml:space="preserve">Mortalité maternelle</w:t>
      </w:r>
      <w:r>
        <w:rPr/>
        <w:t xml:space="preserve"> : Réduite de </w:t>
      </w:r>
      <w:r>
        <w:rPr>
          <w:b/>
        </w:rPr>
        <w:t xml:space="preserve">40 %</w:t>
      </w:r>
      <w:r>
        <w:rPr/>
        <w:t xml:space="preserve"> entre 2000 et 2023 </w:t>
      </w:r>
      <w:r>
        <w:rPr>
          <w:color w:val="707070"/>
          <w:sz w:val="18"/>
        </w:rPr>
        <w:t xml:space="preserve">(OMS et autres agences de l’ONU, 2025)</w:t>
      </w:r>
      <w:r>
        <w:rPr/>
        <w:t xml:space="preserve">.</w:t>
      </w:r>
    </w:p>
    <w:p>
      <w:pPr>
        <w:pStyle w:val="normal1"/>
        <w:numPr>
          <w:ilvl w:val="0"/>
          <w:numId w:val="1"/>
        </w:numPr>
        <w:spacing w:before="0" w:after="60"/>
        <w:rPr/>
      </w:pPr>
      <w:r>
        <w:rPr>
          <w:b/>
        </w:rPr>
        <w:t xml:space="preserve">Personnel de santé</w:t>
      </w:r>
      <w:r>
        <w:rPr/>
        <w:t xml:space="preserve"> : On prévoit une pénurie de </w:t>
      </w:r>
      <w:r>
        <w:rPr>
          <w:b/>
        </w:rPr>
        <w:t xml:space="preserve">11 millions de professionnels de santé</w:t>
      </w:r>
      <w:r>
        <w:rPr/>
        <w:t xml:space="preserve"> d’ici 2030, surtout dans les pays à revenu faible et à revenu intermédiaire de la tranche inférieure </w:t>
      </w:r>
      <w:r>
        <w:rPr>
          <w:color w:val="707070"/>
          <w:sz w:val="18"/>
        </w:rPr>
        <w:t xml:space="preserve">(projection de l’OMS)</w:t>
      </w:r>
      <w:r>
        <w:rPr/>
        <w:t xml:space="preserve">.</w:t>
      </w:r>
    </w:p>
    <w:p>
      <w:pPr>
        <w:pStyle w:val="normal1"/>
        <w:numPr>
          <w:ilvl w:val="0"/>
          <w:numId w:val="1"/>
        </w:numPr>
        <w:spacing w:before="0" w:after="60"/>
        <w:rPr/>
      </w:pPr>
      <w:r>
        <w:rPr>
          <w:b/>
        </w:rPr>
        <w:t xml:space="preserve">Solitude et santé mentale</w:t>
      </w:r>
      <w:r>
        <w:rPr/>
        <w:t xml:space="preserve"> : Une personne sur six souffre de solitude, avec plus de </w:t>
      </w:r>
      <w:r>
        <w:rPr>
          <w:b/>
        </w:rPr>
        <w:t xml:space="preserve">871 000 décès par an</w:t>
      </w:r>
      <w:r>
        <w:rPr/>
        <w:t xml:space="preserve"> qui y sont associés </w:t>
      </w:r>
      <w:r>
        <w:rPr>
          <w:color w:val="707070"/>
          <w:sz w:val="18"/>
        </w:rPr>
        <w:t xml:space="preserve">(OMS, 2025)</w:t>
      </w:r>
      <w:r>
        <w:rPr/>
        <w:t xml:space="preserve">. Un adolescent sur sept a un trouble mental </w:t>
      </w:r>
      <w:r>
        <w:rPr>
          <w:color w:val="707070"/>
          <w:sz w:val="18"/>
        </w:rPr>
        <w:t xml:space="preserve">(OMS)</w:t>
      </w:r>
      <w:r>
        <w:rPr/>
        <w:t xml:space="preserve">.</w:t>
      </w:r>
    </w:p>
    <w:p>
      <w:pPr>
        <w:pStyle w:val="normal1"/>
        <w:numPr>
          <w:ilvl w:val="0"/>
          <w:numId w:val="1"/>
        </w:numPr>
        <w:spacing w:before="0" w:after="160"/>
        <w:rPr/>
      </w:pPr>
      <w:r>
        <w:rPr>
          <w:b/>
        </w:rPr>
        <w:t xml:space="preserve">Éducation</w:t>
      </w:r>
      <w:r>
        <w:rPr/>
        <w:t xml:space="preserve"> : En 2024, </w:t>
      </w:r>
      <w:r>
        <w:rPr>
          <w:b/>
        </w:rPr>
        <w:t xml:space="preserve">273 millions d’enfants et de jeunes</w:t>
      </w:r>
      <w:r>
        <w:rPr/>
        <w:t xml:space="preserve"> n’étaient pas scolarisés, un nombre en hausse pour la septième année consécutive </w:t>
      </w:r>
      <w:r>
        <w:rPr>
          <w:color w:val="707070"/>
          <w:sz w:val="18"/>
        </w:rPr>
        <w:t xml:space="preserve">(UNESCO, 2026)</w:t>
      </w:r>
      <w:r>
        <w:rPr/>
        <w:t xml:space="preserve">.</w:t>
      </w:r>
    </w:p>
    <w:p>
      <w:pPr>
        <w:pStyle w:val="Heading2"/>
        <w:rPr/>
      </w:pPr>
      <w:r>
        <w:rPr/>
        <w:t xml:space="preserve">4. Services essentiels et numérique</w:t>
      </w:r>
    </w:p>
    <w:p>
      <w:pPr>
        <w:pStyle w:val="normal1"/>
        <w:numPr>
          <w:ilvl w:val="0"/>
          <w:numId w:val="1"/>
        </w:numPr>
        <w:spacing w:before="0" w:after="60"/>
        <w:rPr/>
      </w:pPr>
      <w:r>
        <w:rPr>
          <w:b/>
        </w:rPr>
        <w:t xml:space="preserve">Eau et assainissement</w:t>
      </w:r>
      <w:r>
        <w:rPr/>
        <w:t xml:space="preserve"> : </w:t>
      </w:r>
      <w:r>
        <w:rPr>
          <w:b/>
        </w:rPr>
        <w:t xml:space="preserve">2,1 milliards de personnes</w:t>
      </w:r>
      <w:r>
        <w:rPr/>
        <w:t xml:space="preserve"> n’ont pas d’eau potable sûre et 3,4 milliards n’ont pas de services d’assainissement sûrs </w:t>
      </w:r>
      <w:r>
        <w:rPr>
          <w:color w:val="707070"/>
          <w:sz w:val="18"/>
        </w:rPr>
        <w:t xml:space="preserve">(OMS et UNICEF, 2025)</w:t>
      </w:r>
      <w:r>
        <w:rPr/>
        <w:t xml:space="preserve">.</w:t>
      </w:r>
    </w:p>
    <w:p>
      <w:pPr>
        <w:pStyle w:val="normal1"/>
        <w:numPr>
          <w:ilvl w:val="0"/>
          <w:numId w:val="1"/>
        </w:numPr>
        <w:spacing w:before="0" w:after="60"/>
        <w:rPr/>
      </w:pPr>
      <w:r>
        <w:rPr>
          <w:b/>
        </w:rPr>
        <w:t xml:space="preserve">Électricité et cuisson</w:t>
      </w:r>
      <w:r>
        <w:rPr/>
        <w:t xml:space="preserve"> : </w:t>
      </w:r>
      <w:r>
        <w:rPr>
          <w:b/>
        </w:rPr>
        <w:t xml:space="preserve">92 %</w:t>
      </w:r>
      <w:r>
        <w:rPr/>
        <w:t xml:space="preserve"> de la population mondiale a l’électricité ; 655 millions de personnes en restent privées, et environ 2 milliards cuisinent avec des combustibles polluants </w:t>
      </w:r>
      <w:r>
        <w:rPr>
          <w:color w:val="707070"/>
          <w:sz w:val="18"/>
        </w:rPr>
        <w:t xml:space="preserve">(Tracking SDG7, 2026)</w:t>
      </w:r>
      <w:r>
        <w:rPr/>
        <w:t xml:space="preserve">.</w:t>
      </w:r>
    </w:p>
    <w:p>
      <w:pPr>
        <w:pStyle w:val="normal1"/>
        <w:numPr>
          <w:ilvl w:val="0"/>
          <w:numId w:val="1"/>
        </w:numPr>
        <w:spacing w:before="0" w:after="160"/>
        <w:rPr/>
      </w:pPr>
      <w:r>
        <w:rPr>
          <w:b/>
        </w:rPr>
        <w:t xml:space="preserve">Numérique</w:t>
      </w:r>
      <w:r>
        <w:rPr/>
        <w:t xml:space="preserve"> : 6 milliards de personnes, environ les trois quarts de la population mondiale, utilisent Internet ; </w:t>
      </w:r>
      <w:r>
        <w:rPr>
          <w:b/>
        </w:rPr>
        <w:t xml:space="preserve">2,2 milliards</w:t>
      </w:r>
      <w:r>
        <w:rPr/>
        <w:t xml:space="preserve"> sont encore hors ligne </w:t>
      </w:r>
      <w:r>
        <w:rPr>
          <w:color w:val="707070"/>
          <w:sz w:val="18"/>
        </w:rPr>
        <w:t xml:space="preserve">(UIT, 2025)</w:t>
      </w:r>
      <w:r>
        <w:rPr/>
        <w:t xml:space="preserve">. 87 % des personnes interrogées désignent les vulnérabilités liées à l’IA comme le risque informatique à la croissance la plus rapide </w:t>
      </w:r>
      <w:r>
        <w:rPr>
          <w:color w:val="707070"/>
          <w:sz w:val="18"/>
        </w:rPr>
        <w:t xml:space="preserve">(WEF, Global Cybersecurity Outlook 2026)</w:t>
      </w:r>
      <w:r>
        <w:rPr/>
        <w:t xml:space="preserve">.</w:t>
      </w:r>
    </w:p>
    <w:p>
      <w:pPr>
        <w:pStyle w:val="Heading2"/>
        <w:rPr/>
      </w:pPr>
      <w:r>
        <w:rPr/>
        <w:t xml:space="preserve">5. Climat, énergie et environnement</w:t>
      </w:r>
    </w:p>
    <w:p>
      <w:pPr>
        <w:pStyle w:val="normal1"/>
        <w:numPr>
          <w:ilvl w:val="0"/>
          <w:numId w:val="1"/>
        </w:numPr>
        <w:spacing w:before="0" w:after="60"/>
        <w:rPr/>
      </w:pPr>
      <w:r>
        <w:rPr>
          <w:b/>
        </w:rPr>
        <w:t xml:space="preserve">Climat</w:t>
      </w:r>
      <w:r>
        <w:rPr/>
        <w:t xml:space="preserve"> : 2025 a été plus chaud de </w:t>
      </w:r>
      <w:r>
        <w:rPr>
          <w:b/>
        </w:rPr>
        <w:t xml:space="preserve">1,44 °C</w:t>
      </w:r>
      <w:r>
        <w:rPr/>
        <w:t xml:space="preserve"> que la moyenne préindustrielle ; les onze dernières années sont les plus chaudes jamais enregistrées </w:t>
      </w:r>
      <w:r>
        <w:rPr>
          <w:color w:val="707070"/>
          <w:sz w:val="18"/>
        </w:rPr>
        <w:t xml:space="preserve">(OMM, 2026)</w:t>
      </w:r>
      <w:r>
        <w:rPr/>
        <w:t xml:space="preserve">. Les émissions de CO₂ issues des combustibles fossiles ont atteint le record de </w:t>
      </w:r>
      <w:r>
        <w:rPr>
          <w:b/>
        </w:rPr>
        <w:t xml:space="preserve">38,1 milliards de tonnes</w:t>
      </w:r>
      <w:r>
        <w:rPr/>
        <w:t xml:space="preserve"> en 2025 </w:t>
      </w:r>
      <w:r>
        <w:rPr>
          <w:color w:val="707070"/>
          <w:sz w:val="18"/>
        </w:rPr>
        <w:t xml:space="preserve">(estimation Global Carbon Budget 2025)</w:t>
      </w:r>
      <w:r>
        <w:rPr/>
        <w:t xml:space="preserve">. Avec les politiques actuelles, le réchauffement atteindra 2,8 °C d’ici la fin du siècle </w:t>
      </w:r>
      <w:r>
        <w:rPr>
          <w:color w:val="707070"/>
          <w:sz w:val="18"/>
        </w:rPr>
        <w:t xml:space="preserve">(projection du PNUE, Emissions Gap Report 2025)</w:t>
      </w:r>
      <w:r>
        <w:rPr/>
        <w:t xml:space="preserve">.</w:t>
      </w:r>
    </w:p>
    <w:p>
      <w:pPr>
        <w:pStyle w:val="normal1"/>
        <w:numPr>
          <w:ilvl w:val="0"/>
          <w:numId w:val="1"/>
        </w:numPr>
        <w:spacing w:before="0" w:after="60"/>
        <w:rPr/>
      </w:pPr>
      <w:r>
        <w:rPr>
          <w:b/>
        </w:rPr>
        <w:t xml:space="preserve">Électricité propre</w:t>
      </w:r>
      <w:r>
        <w:rPr/>
        <w:t xml:space="preserve"> : En 2025, les renouvelables </w:t>
      </w:r>
      <w:r>
        <w:rPr/>
        <w:t xml:space="preserve">(</w:t>
      </w:r>
      <w:r>
        <w:rPr>
          <w:b/>
        </w:rPr>
        <w:t xml:space="preserve">33,8 %</w:t>
      </w:r>
      <w:r>
        <w:rPr/>
        <w:t xml:space="preserve">)</w:t>
      </w:r>
      <w:r>
        <w:rPr/>
        <w:t xml:space="preserve"> ont dépassé pour la première fois le charbon </w:t>
      </w:r>
      <w:r>
        <w:rPr/>
        <w:t xml:space="preserve">(</w:t>
      </w:r>
      <w:r>
        <w:rPr/>
        <w:t xml:space="preserve">33,0 %</w:t>
      </w:r>
      <w:r>
        <w:rPr/>
        <w:t xml:space="preserve">)</w:t>
      </w:r>
      <w:r>
        <w:rPr/>
        <w:t xml:space="preserve"> dans la production mondiale d’électricité, et la production d’origine fossile n’a pas augmenté </w:t>
      </w:r>
      <w:r>
        <w:rPr/>
        <w:t xml:space="preserve">(</w:t>
      </w:r>
      <w:r>
        <w:rPr/>
        <w:t xml:space="preserve">-0,2 %</w:t>
      </w:r>
      <w:r>
        <w:rPr/>
        <w:t xml:space="preserve">)</w:t>
      </w:r>
      <w:r>
        <w:rPr/>
        <w:t xml:space="preserve"> </w:t>
      </w:r>
      <w:r>
        <w:rPr>
          <w:color w:val="707070"/>
          <w:sz w:val="18"/>
        </w:rPr>
        <w:t xml:space="preserve">(Ember, 2026)</w:t>
      </w:r>
      <w:r>
        <w:rPr/>
        <w:t xml:space="preserve">. 692 GW de renouvelables ont été installés, 85,6 % de la nouvelle capacité </w:t>
      </w:r>
      <w:r>
        <w:rPr>
          <w:color w:val="707070"/>
          <w:sz w:val="18"/>
        </w:rPr>
        <w:t xml:space="preserve">(IRENA, 2026)</w:t>
      </w:r>
      <w:r>
        <w:rPr/>
        <w:t xml:space="preserve">.</w:t>
      </w:r>
    </w:p>
    <w:p>
      <w:pPr>
        <w:pStyle w:val="normal1"/>
        <w:numPr>
          <w:ilvl w:val="0"/>
          <w:numId w:val="1"/>
        </w:numPr>
        <w:spacing w:before="0" w:after="60"/>
        <w:rPr/>
      </w:pPr>
      <w:r>
        <w:rPr>
          <w:b/>
        </w:rPr>
        <w:t xml:space="preserve">Adaptation au climat</w:t>
      </w:r>
      <w:r>
        <w:rPr/>
        <w:t xml:space="preserve"> : Les pays en développement auront besoin de </w:t>
      </w:r>
      <w:r>
        <w:rPr>
          <w:b/>
        </w:rPr>
        <w:t xml:space="preserve">310-365 milliards de dollars par an</w:t>
      </w:r>
      <w:r>
        <w:rPr/>
        <w:t xml:space="preserve"> d’ici 2035 ; en 2023, ils en ont reçu 26, c’est-à-dire 12 à 14 fois moins </w:t>
      </w:r>
      <w:r>
        <w:rPr>
          <w:color w:val="707070"/>
          <w:sz w:val="18"/>
        </w:rPr>
        <w:t xml:space="preserve">(PNUE, Adaptation Gap Report 2025)</w:t>
      </w:r>
      <w:r>
        <w:rPr/>
        <w:t xml:space="preserve">.</w:t>
      </w:r>
    </w:p>
    <w:p>
      <w:pPr>
        <w:pStyle w:val="normal1"/>
        <w:numPr>
          <w:ilvl w:val="0"/>
          <w:numId w:val="1"/>
        </w:numPr>
        <w:spacing w:before="0" w:after="60"/>
        <w:rPr/>
      </w:pPr>
      <w:r>
        <w:rPr>
          <w:b/>
        </w:rPr>
        <w:t xml:space="preserve">Limites planétaires</w:t>
      </w:r>
      <w:r>
        <w:rPr/>
        <w:t xml:space="preserve"> : </w:t>
      </w:r>
      <w:r>
        <w:rPr>
          <w:b/>
        </w:rPr>
        <w:t xml:space="preserve">Sept sur neuf</w:t>
      </w:r>
      <w:r>
        <w:rPr/>
        <w:t xml:space="preserve"> sont dépassées, toutes avec une tendance à l’aggravation ; la dernière est l’acidification des océans </w:t>
      </w:r>
      <w:r>
        <w:rPr>
          <w:color w:val="707070"/>
          <w:sz w:val="18"/>
        </w:rPr>
        <w:t xml:space="preserve">(Planetary Health Check 2025)</w:t>
      </w:r>
      <w:r>
        <w:rPr/>
        <w:t xml:space="preserve">.</w:t>
      </w:r>
    </w:p>
    <w:p>
      <w:pPr>
        <w:pStyle w:val="normal1"/>
        <w:numPr>
          <w:ilvl w:val="0"/>
          <w:numId w:val="1"/>
        </w:numPr>
        <w:spacing w:before="0" w:after="60"/>
        <w:rPr/>
      </w:pPr>
      <w:r>
        <w:rPr>
          <w:b/>
        </w:rPr>
        <w:t xml:space="preserve">Biodiversité</w:t>
      </w:r>
      <w:r>
        <w:rPr/>
        <w:t xml:space="preserve"> : Les populations de vertébrés sauvages suivies ont diminué en moyenne de </w:t>
      </w:r>
      <w:r>
        <w:rPr>
          <w:b/>
        </w:rPr>
        <w:t xml:space="preserve">73 %</w:t>
      </w:r>
      <w:r>
        <w:rPr/>
        <w:t xml:space="preserve"> entre 1970 et 2020 </w:t>
      </w:r>
      <w:r>
        <w:rPr>
          <w:color w:val="707070"/>
          <w:sz w:val="18"/>
        </w:rPr>
        <w:t xml:space="preserve">(WWF, Living Planet Report 2024)</w:t>
      </w:r>
      <w:r>
        <w:rPr/>
        <w:t xml:space="preserve">. Plus de 48 600 espèces sont menacées d’extinction, 28 % de celles qui ont été évaluées </w:t>
      </w:r>
      <w:r>
        <w:rPr>
          <w:color w:val="707070"/>
          <w:sz w:val="18"/>
        </w:rPr>
        <w:t xml:space="preserve">(UICN, Liste rouge, 2026)</w:t>
      </w:r>
      <w:r>
        <w:rPr/>
        <w:t xml:space="preserve">.</w:t>
      </w:r>
    </w:p>
    <w:p>
      <w:pPr>
        <w:pStyle w:val="normal1"/>
        <w:numPr>
          <w:ilvl w:val="0"/>
          <w:numId w:val="1"/>
        </w:numPr>
        <w:spacing w:before="0" w:after="60"/>
        <w:rPr/>
      </w:pPr>
      <w:r>
        <w:rPr>
          <w:b/>
        </w:rPr>
        <w:t xml:space="preserve">Forêts</w:t>
      </w:r>
      <w:r>
        <w:rPr/>
        <w:t xml:space="preserve"> : La déforestation est passée de 17,6 millions d’hectares par an dans les années 1990 à </w:t>
      </w:r>
      <w:r>
        <w:rPr>
          <w:b/>
        </w:rPr>
        <w:t xml:space="preserve">10,9 millions</w:t>
      </w:r>
      <w:r>
        <w:rPr/>
        <w:t xml:space="preserve"> en 2015-2025 </w:t>
      </w:r>
      <w:r>
        <w:rPr>
          <w:color w:val="707070"/>
          <w:sz w:val="18"/>
        </w:rPr>
        <w:t xml:space="preserve">(FAO, 2025)</w:t>
      </w:r>
      <w:r>
        <w:rPr/>
        <w:t xml:space="preserve">.</w:t>
      </w:r>
    </w:p>
    <w:p>
      <w:pPr>
        <w:pStyle w:val="normal1"/>
        <w:numPr>
          <w:ilvl w:val="0"/>
          <w:numId w:val="1"/>
        </w:numPr>
        <w:spacing w:before="0" w:after="60"/>
        <w:rPr/>
      </w:pPr>
      <w:r>
        <w:rPr>
          <w:b/>
        </w:rPr>
        <w:t xml:space="preserve">Ozone</w:t>
      </w:r>
      <w:r>
        <w:rPr/>
        <w:t xml:space="preserve"> : Plus de </w:t>
      </w:r>
      <w:r>
        <w:rPr>
          <w:b/>
        </w:rPr>
        <w:t xml:space="preserve">99 %</w:t>
      </w:r>
      <w:r>
        <w:rPr/>
        <w:t xml:space="preserve"> des substances qui le détruisent ont été éliminées ; la couche reviendra aux niveaux de 1980 vers le milieu du siècle </w:t>
      </w:r>
      <w:r>
        <w:rPr>
          <w:color w:val="707070"/>
          <w:sz w:val="18"/>
        </w:rPr>
        <w:t xml:space="preserve">(OMM, 2025)</w:t>
      </w:r>
      <w:r>
        <w:rPr/>
        <w:t xml:space="preserve">.</w:t>
      </w:r>
    </w:p>
    <w:p>
      <w:pPr>
        <w:pStyle w:val="normal1"/>
        <w:numPr>
          <w:ilvl w:val="0"/>
          <w:numId w:val="1"/>
        </w:numPr>
        <w:spacing w:before="0" w:after="160"/>
        <w:rPr/>
      </w:pPr>
      <w:r>
        <w:rPr>
          <w:b/>
        </w:rPr>
        <w:t xml:space="preserve">Ressources et gaspillage</w:t>
      </w:r>
      <w:r>
        <w:rPr/>
        <w:t xml:space="preserve"> : L’extraction de matières est passée de 30 milliards de tonnes en 1970 à environ </w:t>
      </w:r>
      <w:r>
        <w:rPr>
          <w:b/>
        </w:rPr>
        <w:t xml:space="preserve">106 milliards</w:t>
      </w:r>
      <w:r>
        <w:rPr/>
        <w:t xml:space="preserve"> en 2024 </w:t>
      </w:r>
      <w:r>
        <w:rPr>
          <w:color w:val="707070"/>
          <w:sz w:val="18"/>
        </w:rPr>
        <w:t xml:space="preserve">(PNUE, Global Resources Outlook 2024)</w:t>
      </w:r>
      <w:r>
        <w:rPr/>
        <w:t xml:space="preserve">. En 2022, </w:t>
      </w:r>
      <w:r>
        <w:rPr>
          <w:b/>
        </w:rPr>
        <w:t xml:space="preserve">1,05 milliard de tonnes de nourriture</w:t>
      </w:r>
      <w:r>
        <w:rPr/>
        <w:t xml:space="preserve"> ont été gaspillées, 19 % de celle disponible pour les consommateurs </w:t>
      </w:r>
      <w:r>
        <w:rPr>
          <w:color w:val="707070"/>
          <w:sz w:val="18"/>
        </w:rPr>
        <w:t xml:space="preserve">(PNUE, Food Waste Index 2024)</w:t>
      </w:r>
      <w:r>
        <w:rPr/>
        <w:t xml:space="preserve">. Chaque année, on produit 92 millions de tonnes de déchets textiles </w:t>
      </w:r>
      <w:r>
        <w:rPr>
          <w:color w:val="707070"/>
          <w:sz w:val="18"/>
        </w:rPr>
        <w:t xml:space="preserve">(PNUE, 2025)</w:t>
      </w:r>
      <w:r>
        <w:rPr/>
        <w:t xml:space="preserve">.</w:t>
      </w:r>
    </w:p>
    <w:p>
      <w:pPr>
        <w:pStyle w:val="Heading2"/>
        <w:rPr/>
      </w:pPr>
      <w:r>
        <w:rPr/>
        <w:t xml:space="preserve">6. Guerre, sécurité et déplacements forcés</w:t>
      </w:r>
    </w:p>
    <w:p>
      <w:pPr>
        <w:pStyle w:val="normal1"/>
        <w:numPr>
          <w:ilvl w:val="0"/>
          <w:numId w:val="1"/>
        </w:numPr>
        <w:spacing w:before="0" w:after="60"/>
        <w:rPr/>
      </w:pPr>
      <w:r>
        <w:rPr>
          <w:b/>
        </w:rPr>
        <w:t xml:space="preserve">Conflits</w:t>
      </w:r>
      <w:r>
        <w:rPr/>
        <w:t xml:space="preserve"> : En 2025, on a recensé </w:t>
      </w:r>
      <w:r>
        <w:rPr>
          <w:b/>
        </w:rPr>
        <w:t xml:space="preserve">65 conflits armés</w:t>
      </w:r>
      <w:r>
        <w:rPr/>
        <w:t xml:space="preserve"> impliquant au moins un État, le nombre le plus élevé depuis 1946, et environ 244 600 morts dues à la violence organisée </w:t>
      </w:r>
      <w:r>
        <w:rPr>
          <w:color w:val="707070"/>
          <w:sz w:val="18"/>
        </w:rPr>
        <w:t xml:space="preserve">(UCDP, Université d’Uppsala, 2026)</w:t>
      </w:r>
      <w:r>
        <w:rPr/>
        <w:t xml:space="preserve">.</w:t>
      </w:r>
    </w:p>
    <w:p>
      <w:pPr>
        <w:pStyle w:val="normal1"/>
        <w:numPr>
          <w:ilvl w:val="0"/>
          <w:numId w:val="1"/>
        </w:numPr>
        <w:spacing w:before="0" w:after="60"/>
        <w:rPr/>
      </w:pPr>
      <w:r>
        <w:rPr>
          <w:b/>
        </w:rPr>
        <w:t xml:space="preserve">Dépenses militaires</w:t>
      </w:r>
      <w:r>
        <w:rPr/>
        <w:t xml:space="preserve"> : </w:t>
      </w:r>
      <w:r>
        <w:rPr>
          <w:b/>
        </w:rPr>
        <w:t xml:space="preserve">2 890 milliards de dollars</w:t>
      </w:r>
      <w:r>
        <w:rPr/>
        <w:t xml:space="preserve"> en 2025 </w:t>
      </w:r>
      <w:r>
        <w:rPr/>
        <w:t xml:space="preserve">(</w:t>
      </w:r>
      <w:r>
        <w:rPr/>
        <w:t xml:space="preserve">+2,9 %</w:t>
      </w:r>
      <w:r>
        <w:rPr/>
        <w:t xml:space="preserve">)</w:t>
      </w:r>
      <w:r>
        <w:rPr/>
        <w:t xml:space="preserve">, onzième année consécutive de hausse. C’est 2,5 % du PIB mondial, le niveau le plus élevé depuis 2009 </w:t>
      </w:r>
      <w:r>
        <w:rPr>
          <w:color w:val="707070"/>
          <w:sz w:val="18"/>
        </w:rPr>
        <w:t xml:space="preserve">(SIPRI, 2026)</w:t>
      </w:r>
      <w:r>
        <w:rPr/>
        <w:t xml:space="preserve">.</w:t>
      </w:r>
    </w:p>
    <w:p>
      <w:pPr>
        <w:pStyle w:val="normal1"/>
        <w:numPr>
          <w:ilvl w:val="0"/>
          <w:numId w:val="1"/>
        </w:numPr>
        <w:spacing w:before="0" w:after="60"/>
        <w:rPr/>
      </w:pPr>
      <w:r>
        <w:rPr>
          <w:b/>
        </w:rPr>
        <w:t xml:space="preserve">Armes nucléaires</w:t>
      </w:r>
      <w:r>
        <w:rPr/>
        <w:t xml:space="preserve"> : En janvier 2026, il existait environ </w:t>
      </w:r>
      <w:r>
        <w:rPr>
          <w:b/>
        </w:rPr>
        <w:t xml:space="preserve">12 187 ogives</w:t>
      </w:r>
      <w:r>
        <w:rPr/>
        <w:t xml:space="preserve"> ; celles des arsenaux militaires étaient environ 9 745, 130 de plus en un an </w:t>
      </w:r>
      <w:r>
        <w:rPr>
          <w:color w:val="707070"/>
          <w:sz w:val="18"/>
        </w:rPr>
        <w:t xml:space="preserve">(SIPRI Yearbook 2026)</w:t>
      </w:r>
      <w:r>
        <w:rPr/>
        <w:t xml:space="preserve">.</w:t>
      </w:r>
    </w:p>
    <w:p>
      <w:pPr>
        <w:pStyle w:val="normal1"/>
        <w:numPr>
          <w:ilvl w:val="0"/>
          <w:numId w:val="1"/>
        </w:numPr>
        <w:spacing w:before="0" w:after="160"/>
        <w:rPr/>
      </w:pPr>
      <w:r>
        <w:rPr>
          <w:b/>
        </w:rPr>
        <w:t xml:space="preserve">Déplacements forcés</w:t>
      </w:r>
      <w:r>
        <w:rPr/>
        <w:t xml:space="preserve"> : Fin 2025, les personnes contraintes de quitter leur foyer étaient </w:t>
      </w:r>
      <w:r>
        <w:rPr>
          <w:b/>
        </w:rPr>
        <w:t xml:space="preserve">117,8 millions</w:t>
      </w:r>
      <w:r>
        <w:rPr/>
        <w:t xml:space="preserve">, une sur 70 dans le monde. C’est la première baisse en dix ans </w:t>
      </w:r>
      <w:r>
        <w:rPr>
          <w:color w:val="707070"/>
          <w:sz w:val="18"/>
        </w:rPr>
        <w:t xml:space="preserve">(HCR, Global Trends, 2026)</w:t>
      </w:r>
      <w:r>
        <w:rPr/>
        <w:t xml:space="preserve">.</w:t>
      </w:r>
    </w:p>
    <w:p>
      <w:pPr>
        <w:pStyle w:val="Heading2"/>
        <w:rPr/>
      </w:pPr>
      <w:r>
        <w:rPr/>
        <w:t xml:space="preserve">7. Démocratie, institutions et droits</w:t>
      </w:r>
    </w:p>
    <w:p>
      <w:pPr>
        <w:pStyle w:val="normal1"/>
        <w:numPr>
          <w:ilvl w:val="0"/>
          <w:numId w:val="1"/>
        </w:numPr>
        <w:spacing w:before="0" w:after="60"/>
        <w:rPr/>
      </w:pPr>
      <w:r>
        <w:rPr>
          <w:b/>
        </w:rPr>
        <w:t xml:space="preserve">Déclin démocratique</w:t>
      </w:r>
      <w:r>
        <w:rPr/>
        <w:t xml:space="preserve"> : La liberté dans le monde a reculé pour la </w:t>
      </w:r>
      <w:r>
        <w:rPr>
          <w:b/>
        </w:rPr>
        <w:t xml:space="preserve">vingtième année consécutive</w:t>
      </w:r>
      <w:r>
        <w:rPr/>
        <w:t xml:space="preserve"> : en 2025, 54 pays en dégradation contre 35 en amélioration </w:t>
      </w:r>
      <w:r>
        <w:rPr>
          <w:color w:val="707070"/>
          <w:sz w:val="18"/>
        </w:rPr>
        <w:t xml:space="preserve">(Freedom House, 2026)</w:t>
      </w:r>
      <w:r>
        <w:rPr/>
        <w:t xml:space="preserve">.</w:t>
      </w:r>
    </w:p>
    <w:p>
      <w:pPr>
        <w:pStyle w:val="normal1"/>
        <w:numPr>
          <w:ilvl w:val="0"/>
          <w:numId w:val="1"/>
        </w:numPr>
        <w:spacing w:before="0" w:after="60"/>
        <w:rPr/>
      </w:pPr>
      <w:r>
        <w:rPr>
          <w:b/>
        </w:rPr>
        <w:t xml:space="preserve">Confiance</w:t>
      </w:r>
      <w:r>
        <w:rPr/>
        <w:t xml:space="preserve"> : Dans les pays de l’OCDE, </w:t>
      </w:r>
      <w:r>
        <w:rPr>
          <w:b/>
        </w:rPr>
        <w:t xml:space="preserve">40 %</w:t>
      </w:r>
      <w:r>
        <w:rPr/>
        <w:t xml:space="preserve"> des citoyens ont une confiance élevée ou moyennement élevée dans leur gouvernement national ; 43 % une confiance faible ou nulle </w:t>
      </w:r>
      <w:r>
        <w:rPr>
          <w:color w:val="707070"/>
          <w:sz w:val="18"/>
        </w:rPr>
        <w:t xml:space="preserve">(OCDE, Trust Survey 2026)</w:t>
      </w:r>
      <w:r>
        <w:rPr/>
        <w:t xml:space="preserve">.</w:t>
      </w:r>
    </w:p>
    <w:p>
      <w:pPr>
        <w:pStyle w:val="normal1"/>
        <w:numPr>
          <w:ilvl w:val="0"/>
          <w:numId w:val="1"/>
        </w:numPr>
        <w:spacing w:before="0" w:after="60"/>
        <w:rPr/>
      </w:pPr>
      <w:r>
        <w:rPr>
          <w:b/>
        </w:rPr>
        <w:t xml:space="preserve">Prisons</w:t>
      </w:r>
      <w:r>
        <w:rPr/>
        <w:t xml:space="preserve"> : En Europe, au 31 janvier 2025, il y avait en moyenne </w:t>
      </w:r>
      <w:r>
        <w:rPr>
          <w:b/>
        </w:rPr>
        <w:t xml:space="preserve">95,2 détenus pour 100 places</w:t>
      </w:r>
      <w:r>
        <w:rPr/>
        <w:t xml:space="preserve"> </w:t>
      </w:r>
      <w:r>
        <w:rPr/>
        <w:t xml:space="preserve">(</w:t>
      </w:r>
      <w:r>
        <w:rPr/>
        <w:t xml:space="preserve">94,7 un an plus tôt</w:t>
      </w:r>
      <w:r>
        <w:rPr/>
        <w:t xml:space="preserve">)</w:t>
      </w:r>
      <w:r>
        <w:rPr/>
        <w:t xml:space="preserve">. 14 systèmes pénitentiaires sont surpeuplés, 9 gravement, dont l’Italie et la France </w:t>
      </w:r>
      <w:r>
        <w:rPr>
          <w:color w:val="707070"/>
          <w:sz w:val="18"/>
        </w:rPr>
        <w:t xml:space="preserve">(Conseil de l’Europe, SPACE I, 2026)</w:t>
      </w:r>
      <w:r>
        <w:rPr/>
        <w:t xml:space="preserve">.</w:t>
      </w:r>
    </w:p>
    <w:p>
      <w:pPr>
        <w:pStyle w:val="normal1"/>
        <w:numPr>
          <w:ilvl w:val="0"/>
          <w:numId w:val="1"/>
        </w:numPr>
        <w:spacing w:before="0" w:after="160"/>
        <w:rPr/>
      </w:pPr>
      <w:r>
        <w:rPr>
          <w:b/>
        </w:rPr>
        <w:t xml:space="preserve">Violence contre les femmes</w:t>
      </w:r>
      <w:r>
        <w:rPr/>
        <w:t xml:space="preserve"> : Environ </w:t>
      </w:r>
      <w:r>
        <w:rPr>
          <w:b/>
        </w:rPr>
        <w:t xml:space="preserve">840 millions de femmes</w:t>
      </w:r>
      <w:r>
        <w:rPr/>
        <w:t xml:space="preserve">, près d’une sur trois, ont subi au cours de leur vie des violences de la part d’un partenaire ou des violences sexuelles ; ce chiffre est presque inchangé depuis 2000 </w:t>
      </w:r>
      <w:r>
        <w:rPr>
          <w:color w:val="707070"/>
          <w:sz w:val="18"/>
        </w:rPr>
        <w:t xml:space="preserve">(OMS, 2025)</w:t>
      </w:r>
      <w:r>
        <w:rPr/>
        <w:t xml:space="preserve">.</w:t>
      </w:r>
    </w:p>
    <w:p>
      <w:pPr>
        <w:pStyle w:val="Heading2"/>
        <w:rPr/>
      </w:pPr>
      <w:r>
        <w:rPr/>
        <w:t xml:space="preserve">8. Dette, commerce et aide</w:t>
      </w:r>
    </w:p>
    <w:p>
      <w:pPr>
        <w:pStyle w:val="normal1"/>
        <w:numPr>
          <w:ilvl w:val="0"/>
          <w:numId w:val="1"/>
        </w:numPr>
        <w:spacing w:before="0" w:after="60"/>
        <w:rPr/>
      </w:pPr>
      <w:r>
        <w:rPr>
          <w:b/>
        </w:rPr>
        <w:t xml:space="preserve">Dette mondiale</w:t>
      </w:r>
      <w:r>
        <w:rPr/>
        <w:t xml:space="preserve"> : En 2024, elle a atteint </w:t>
      </w:r>
      <w:r>
        <w:rPr>
          <w:b/>
        </w:rPr>
        <w:t xml:space="preserve">251 000 milliards de dollars</w:t>
      </w:r>
      <w:r>
        <w:rPr/>
        <w:t xml:space="preserve">, un peu plus de 235 % du PIB mondial ; la dette publique est à 93 % du PIB </w:t>
      </w:r>
      <w:r>
        <w:rPr>
          <w:color w:val="707070"/>
          <w:sz w:val="18"/>
        </w:rPr>
        <w:t xml:space="preserve">(FMI, Global Debt Monitor 2025)</w:t>
      </w:r>
      <w:r>
        <w:rPr/>
        <w:t xml:space="preserve">.</w:t>
      </w:r>
    </w:p>
    <w:p>
      <w:pPr>
        <w:pStyle w:val="normal1"/>
        <w:numPr>
          <w:ilvl w:val="0"/>
          <w:numId w:val="1"/>
        </w:numPr>
        <w:spacing w:before="0" w:after="60"/>
        <w:rPr/>
      </w:pPr>
      <w:r>
        <w:rPr>
          <w:b/>
        </w:rPr>
        <w:t xml:space="preserve">Commerce</w:t>
      </w:r>
      <w:r>
        <w:rPr/>
        <w:t xml:space="preserve"> : Les échanges mondiaux ont dépassé pour la première fois les </w:t>
      </w:r>
      <w:r>
        <w:rPr>
          <w:b/>
        </w:rPr>
        <w:t xml:space="preserve">35 000 milliards de dollars</w:t>
      </w:r>
      <w:r>
        <w:rPr/>
        <w:t xml:space="preserve"> en 2025 </w:t>
      </w:r>
      <w:r>
        <w:rPr>
          <w:color w:val="707070"/>
          <w:sz w:val="18"/>
        </w:rPr>
        <w:t xml:space="preserve">(estimation de la CNUCED, 2025)</w:t>
      </w:r>
      <w:r>
        <w:rPr/>
        <w:t xml:space="preserve">. Dans le même temps, les tensions géopolitiques poussent vers la régionalisation et la recherche d’une autonomie stratégique dans les semi-conducteurs, l’énergie et les minerais critiques </w:t>
      </w:r>
      <w:r>
        <w:rPr>
          <w:color w:val="707070"/>
          <w:sz w:val="18"/>
        </w:rPr>
        <w:t xml:space="preserve">(évaluation)</w:t>
      </w:r>
      <w:r>
        <w:rPr/>
        <w:t xml:space="preserve">.</w:t>
      </w:r>
    </w:p>
    <w:p>
      <w:pPr>
        <w:pStyle w:val="normal1"/>
        <w:numPr>
          <w:ilvl w:val="0"/>
          <w:numId w:val="1"/>
        </w:numPr>
        <w:spacing w:before="0" w:after="160"/>
        <w:rPr/>
      </w:pPr>
      <w:r>
        <w:rPr>
          <w:b/>
        </w:rPr>
        <w:t xml:space="preserve">Aide au développement</w:t>
      </w:r>
      <w:r>
        <w:rPr/>
        <w:t xml:space="preserve"> : En 2025, elle a diminué de </w:t>
      </w:r>
      <w:r>
        <w:rPr>
          <w:b/>
        </w:rPr>
        <w:t xml:space="preserve">23,1 %</w:t>
      </w:r>
      <w:r>
        <w:rPr/>
        <w:t xml:space="preserve">, la plus forte baisse annuelle jamais enregistrée, pour descendre à 174,3 milliards de dollars </w:t>
      </w:r>
      <w:r>
        <w:rPr>
          <w:color w:val="707070"/>
          <w:sz w:val="18"/>
        </w:rPr>
        <w:t xml:space="preserve">(OCDE, données préliminaires, 2026)</w:t>
      </w:r>
      <w:r>
        <w:rPr/>
        <w:t xml:space="preserve">.</w:t>
      </w:r>
    </w:p>
    <w:p>
      <w:pPr>
        <w:pStyle w:val="Heading1"/>
        <w:rPr/>
      </w:pPr>
      <w:r>
        <w:rPr/>
        <w:t xml:space="preserve">Deuxième partie — Lecture d’ensemble</w:t>
      </w:r>
    </w:p>
    <w:p>
      <w:pPr>
        <w:pStyle w:val="normal1"/>
        <w:spacing w:before="0" w:after="160"/>
        <w:rPr/>
      </w:pPr>
      <w:r>
        <w:rPr/>
        <w:t xml:space="preserve">Cette partie est une interprétation des données qui précèdent.</w:t>
      </w:r>
    </w:p>
    <w:p>
      <w:pPr>
        <w:pStyle w:val="normal1"/>
        <w:spacing w:before="0" w:after="160"/>
        <w:rPr/>
      </w:pPr>
      <w:r>
        <w:rPr/>
        <w:t xml:space="preserve">Les phénomènes, pris un à un, ne peuvent pas être traités par des approches sectorielles isolées. Lues ensemble, les données font apparaître trois écarts récurrents.</w:t>
      </w:r>
    </w:p>
    <w:p>
      <w:pPr>
        <w:pStyle w:val="normal1"/>
        <w:spacing w:before="0" w:after="160"/>
        <w:rPr/>
      </w:pPr>
      <w:r>
        <w:rPr>
          <w:b/>
        </w:rPr>
        <w:t xml:space="preserve">Entre ce qui est produit et la manière dont c’est distribué.</w:t>
      </w:r>
      <w:r>
        <w:rPr/>
        <w:t xml:space="preserve"> On gaspille un cinquième de la nourriture disponible pendant que 645 millions de personnes souffrent de la faim. La productivité augmente plus que les salaires. La richesse augmente et se concentre.</w:t>
      </w:r>
    </w:p>
    <w:p>
      <w:pPr>
        <w:pStyle w:val="normal1"/>
        <w:spacing w:before="0" w:after="160"/>
        <w:rPr/>
      </w:pPr>
      <w:r>
        <w:rPr>
          <w:b/>
        </w:rPr>
        <w:t xml:space="preserve">Entre ce que l’on sait et ce que l’on fait.</w:t>
      </w:r>
      <w:r>
        <w:rPr/>
        <w:t xml:space="preserve"> Les objectifs climatiques sont partagés, mais les émissions atteignent des niveaux record. Les dépenses militaires augmentent depuis onze ans, tandis que l’aide au développement enregistre la plus forte baisse de son histoire et que l’adaptation au climat reçoit une fraction de ce qui serait nécessaire.</w:t>
      </w:r>
    </w:p>
    <w:p>
      <w:pPr>
        <w:pStyle w:val="normal1"/>
        <w:spacing w:before="0" w:after="160"/>
        <w:rPr/>
      </w:pPr>
      <w:r>
        <w:rPr>
          <w:b/>
        </w:rPr>
        <w:t xml:space="preserve">Entre ceux qui décident et ceux qui en subissent les effets.</w:t>
      </w:r>
      <w:r>
        <w:rPr/>
        <w:t xml:space="preserve"> La liberté recule depuis vingt ans et, dans les pays de l’OCDE, ceux qui ne font pas confiance à leur gouvernement sont plus nombreux que ceux qui lui font confiance.</w:t>
      </w:r>
    </w:p>
    <w:p>
      <w:pPr>
        <w:pStyle w:val="normal1"/>
        <w:spacing w:before="0" w:after="160"/>
        <w:rPr/>
      </w:pPr>
      <w:r>
        <w:rPr/>
        <w:t xml:space="preserve">Les progrès présentés à côté des points critiques indiquent que ces écarts ne sont pas inévitables : là où il y a eu des choix collectifs coordonnés, de la santé infantile à la couche d’ozone, les résultats sont arrivés.</w:t>
      </w:r>
    </w:p>
    <w:p>
      <w:pPr>
        <w:pStyle w:val="Heading1"/>
        <w:rPr/>
      </w:pPr>
      <w:r>
        <w:rPr/>
        <w:t xml:space="preserve">Sources</w:t>
      </w:r>
    </w:p>
    <w:p>
      <w:pPr>
        <w:pStyle w:val="normal1"/>
        <w:spacing w:before="0" w:after="160"/>
        <w:rPr/>
      </w:pPr>
      <w:r>
        <w:rPr/>
        <w:t xml:space="preserve">Les liens mènent à la page consultée pour la vérification, le 3 octobre 2026. Lorsque le rapport original n’était pas accessible, ils mènent à la synthèse utilisée à sa place.</w:t>
      </w:r>
    </w:p>
    <w:p>
      <w:pPr>
        <w:pStyle w:val="normal1"/>
        <w:numPr>
          <w:ilvl w:val="0"/>
          <w:numId w:val="1"/>
        </w:numPr>
        <w:spacing w:before="0" w:after="60"/>
        <w:rPr/>
      </w:pPr>
      <w:hyperlink r:id="rLink1">
        <w:r>
          <w:rPr>
            <w:color w:val="243B55"/>
            <w:u w:val="single"/>
          </w:rPr>
          <w:t xml:space="preserve">Banque mondiale, mise à jour des seuils de pauvreté (juin 2025)</w:t>
        </w:r>
      </w:hyperlink>
      <w:r>
        <w:rPr/>
        <w:t xml:space="preserve"> ; </w:t>
      </w:r>
      <w:hyperlink r:id="rLink2">
        <w:r>
          <w:rPr>
            <w:color w:val="243B55"/>
            <w:u w:val="single"/>
          </w:rPr>
          <w:t xml:space="preserve">estimation 2025</w:t>
        </w:r>
      </w:hyperlink>
    </w:p>
    <w:p>
      <w:pPr>
        <w:pStyle w:val="normal1"/>
        <w:numPr>
          <w:ilvl w:val="0"/>
          <w:numId w:val="1"/>
        </w:numPr>
        <w:spacing w:before="0" w:after="60"/>
        <w:rPr/>
      </w:pPr>
      <w:hyperlink r:id="rLink3">
        <w:r>
          <w:rPr>
            <w:color w:val="243B55"/>
            <w:u w:val="single"/>
          </w:rPr>
          <w:t xml:space="preserve">Conseil de l’Europe, statistiques pénales SPACE I (mai 2026)</w:t>
        </w:r>
      </w:hyperlink>
    </w:p>
    <w:p>
      <w:pPr>
        <w:pStyle w:val="normal1"/>
        <w:numPr>
          <w:ilvl w:val="0"/>
          <w:numId w:val="1"/>
        </w:numPr>
        <w:spacing w:before="0" w:after="60"/>
        <w:rPr/>
      </w:pPr>
      <w:hyperlink r:id="rLink4">
        <w:r>
          <w:rPr>
            <w:color w:val="243B55"/>
            <w:u w:val="single"/>
          </w:rPr>
          <w:t xml:space="preserve">Ember, Global Electricity Review 2026</w:t>
        </w:r>
      </w:hyperlink>
    </w:p>
    <w:p>
      <w:pPr>
        <w:pStyle w:val="normal1"/>
        <w:numPr>
          <w:ilvl w:val="0"/>
          <w:numId w:val="1"/>
        </w:numPr>
        <w:spacing w:before="0" w:after="60"/>
        <w:rPr/>
      </w:pPr>
      <w:hyperlink r:id="rLink5">
        <w:r>
          <w:rPr>
            <w:color w:val="243B55"/>
            <w:u w:val="single"/>
          </w:rPr>
          <w:t xml:space="preserve">Eurostat, prix des logements et loyers (juillet 2025)</w:t>
        </w:r>
      </w:hyperlink>
    </w:p>
    <w:p>
      <w:pPr>
        <w:pStyle w:val="normal1"/>
        <w:numPr>
          <w:ilvl w:val="0"/>
          <w:numId w:val="1"/>
        </w:numPr>
        <w:spacing w:before="0" w:after="60"/>
        <w:rPr/>
      </w:pPr>
      <w:hyperlink r:id="rLink6">
        <w:r>
          <w:rPr>
            <w:color w:val="243B55"/>
            <w:u w:val="single"/>
          </w:rPr>
          <w:t xml:space="preserve">FAO, Global Forest Resources Assessment 2025</w:t>
        </w:r>
      </w:hyperlink>
    </w:p>
    <w:p>
      <w:pPr>
        <w:pStyle w:val="normal1"/>
        <w:numPr>
          <w:ilvl w:val="0"/>
          <w:numId w:val="1"/>
        </w:numPr>
        <w:spacing w:before="0" w:after="60"/>
        <w:rPr/>
      </w:pPr>
      <w:hyperlink r:id="rLink7">
        <w:r>
          <w:rPr>
            <w:color w:val="243B55"/>
            <w:u w:val="single"/>
          </w:rPr>
          <w:t xml:space="preserve">FAO, FIDA, UNICEF, PAM et OMS, The State of Food Security and Nutrition in the World (SOFI) 2026</w:t>
        </w:r>
      </w:hyperlink>
    </w:p>
    <w:p>
      <w:pPr>
        <w:pStyle w:val="normal1"/>
        <w:numPr>
          <w:ilvl w:val="0"/>
          <w:numId w:val="1"/>
        </w:numPr>
        <w:spacing w:before="0" w:after="60"/>
        <w:rPr/>
      </w:pPr>
      <w:hyperlink r:id="rLink8">
        <w:r>
          <w:rPr>
            <w:color w:val="243B55"/>
            <w:u w:val="single"/>
          </w:rPr>
          <w:t xml:space="preserve">FMI, Global Debt Monitor 2025</w:t>
        </w:r>
      </w:hyperlink>
    </w:p>
    <w:p>
      <w:pPr>
        <w:pStyle w:val="normal1"/>
        <w:numPr>
          <w:ilvl w:val="0"/>
          <w:numId w:val="1"/>
        </w:numPr>
        <w:spacing w:before="0" w:after="60"/>
        <w:rPr/>
      </w:pPr>
      <w:hyperlink r:id="rLink9">
        <w:r>
          <w:rPr>
            <w:color w:val="243B55"/>
            <w:u w:val="single"/>
          </w:rPr>
          <w:t xml:space="preserve">Freedom House, Freedom in the World 2026</w:t>
        </w:r>
      </w:hyperlink>
    </w:p>
    <w:p>
      <w:pPr>
        <w:pStyle w:val="normal1"/>
        <w:numPr>
          <w:ilvl w:val="0"/>
          <w:numId w:val="1"/>
        </w:numPr>
        <w:spacing w:before="0" w:after="60"/>
        <w:rPr/>
      </w:pPr>
      <w:hyperlink r:id="rLink10">
        <w:r>
          <w:rPr>
            <w:color w:val="243B55"/>
            <w:u w:val="single"/>
          </w:rPr>
          <w:t xml:space="preserve">Global Carbon Project, Global Carbon Budget 2025</w:t>
        </w:r>
      </w:hyperlink>
    </w:p>
    <w:p>
      <w:pPr>
        <w:pStyle w:val="normal1"/>
        <w:numPr>
          <w:ilvl w:val="0"/>
          <w:numId w:val="1"/>
        </w:numPr>
        <w:spacing w:before="0" w:after="60"/>
        <w:rPr/>
      </w:pPr>
      <w:hyperlink r:id="rLink11">
        <w:r>
          <w:rPr>
            <w:color w:val="243B55"/>
            <w:u w:val="single"/>
          </w:rPr>
          <w:t xml:space="preserve">OIT, Employment and Social Trends 2026</w:t>
        </w:r>
      </w:hyperlink>
      <w:r>
        <w:rPr/>
        <w:t xml:space="preserve"> ; </w:t>
      </w:r>
      <w:hyperlink r:id="rLink12">
        <w:r>
          <w:rPr>
            <w:color w:val="243B55"/>
            <w:u w:val="single"/>
          </w:rPr>
          <w:t xml:space="preserve">Global Wage Report 2024-25</w:t>
        </w:r>
      </w:hyperlink>
      <w:r>
        <w:rPr/>
        <w:t xml:space="preserve"> ; </w:t>
      </w:r>
      <w:hyperlink r:id="rLink13">
        <w:r>
          <w:rPr>
            <w:color w:val="243B55"/>
            <w:u w:val="single"/>
          </w:rPr>
          <w:t xml:space="preserve">indice OIT-NASK sur l’IA générative (mai 2025)</w:t>
        </w:r>
      </w:hyperlink>
    </w:p>
    <w:p>
      <w:pPr>
        <w:pStyle w:val="normal1"/>
        <w:numPr>
          <w:ilvl w:val="0"/>
          <w:numId w:val="1"/>
        </w:numPr>
        <w:spacing w:before="0" w:after="60"/>
        <w:rPr/>
      </w:pPr>
      <w:hyperlink r:id="rLink14">
        <w:r>
          <w:rPr>
            <w:color w:val="243B55"/>
            <w:u w:val="single"/>
          </w:rPr>
          <w:t xml:space="preserve">OIT et UNICEF, Child Labour: Global Estimates 2024 (juin 2025)</w:t>
        </w:r>
      </w:hyperlink>
    </w:p>
    <w:p>
      <w:pPr>
        <w:pStyle w:val="normal1"/>
        <w:numPr>
          <w:ilvl w:val="0"/>
          <w:numId w:val="1"/>
        </w:numPr>
        <w:spacing w:before="0" w:after="60"/>
        <w:rPr/>
      </w:pPr>
      <w:hyperlink r:id="rLink15">
        <w:r>
          <w:rPr>
            <w:color w:val="243B55"/>
            <w:u w:val="single"/>
          </w:rPr>
          <w:t xml:space="preserve">OIT, OIM et Walk Free, Global Estimates of Modern Slavery (2022)</w:t>
        </w:r>
      </w:hyperlink>
    </w:p>
    <w:p>
      <w:pPr>
        <w:pStyle w:val="normal1"/>
        <w:numPr>
          <w:ilvl w:val="0"/>
          <w:numId w:val="1"/>
        </w:numPr>
        <w:spacing w:before="0" w:after="60"/>
        <w:rPr/>
      </w:pPr>
      <w:hyperlink r:id="rLink16">
        <w:r>
          <w:rPr>
            <w:color w:val="243B55"/>
            <w:u w:val="single"/>
          </w:rPr>
          <w:t xml:space="preserve">IRENA, Renewable Capacity Statistics 2026</w:t>
        </w:r>
      </w:hyperlink>
    </w:p>
    <w:p>
      <w:pPr>
        <w:pStyle w:val="normal1"/>
        <w:numPr>
          <w:ilvl w:val="0"/>
          <w:numId w:val="1"/>
        </w:numPr>
        <w:spacing w:before="0" w:after="60"/>
        <w:rPr/>
      </w:pPr>
      <w:hyperlink r:id="rLink17">
        <w:r>
          <w:rPr>
            <w:color w:val="243B55"/>
            <w:u w:val="single"/>
          </w:rPr>
          <w:t xml:space="preserve">UIT, Facts and Figures 2025</w:t>
        </w:r>
      </w:hyperlink>
    </w:p>
    <w:p>
      <w:pPr>
        <w:pStyle w:val="normal1"/>
        <w:numPr>
          <w:ilvl w:val="0"/>
          <w:numId w:val="1"/>
        </w:numPr>
        <w:spacing w:before="0" w:after="60"/>
        <w:rPr/>
      </w:pPr>
      <w:hyperlink r:id="rLink18">
        <w:r>
          <w:rPr>
            <w:color w:val="243B55"/>
            <w:u w:val="single"/>
          </w:rPr>
          <w:t xml:space="preserve">UICN, Liste rouge des espèces menacées (février 2026)</w:t>
        </w:r>
      </w:hyperlink>
    </w:p>
    <w:p>
      <w:pPr>
        <w:pStyle w:val="normal1"/>
        <w:numPr>
          <w:ilvl w:val="0"/>
          <w:numId w:val="1"/>
        </w:numPr>
        <w:spacing w:before="0" w:after="60"/>
        <w:rPr/>
      </w:pPr>
      <w:hyperlink r:id="rLink19">
        <w:r>
          <w:rPr>
            <w:color w:val="243B55"/>
            <w:u w:val="single"/>
          </w:rPr>
          <w:t xml:space="preserve">OCDE, Survey on Drivers of Trust in Public Institutions 2026</w:t>
        </w:r>
      </w:hyperlink>
      <w:r>
        <w:rPr/>
        <w:t xml:space="preserve"> ; </w:t>
      </w:r>
      <w:hyperlink r:id="rLink20">
        <w:r>
          <w:rPr>
            <w:color w:val="243B55"/>
            <w:u w:val="single"/>
          </w:rPr>
          <w:t xml:space="preserve">Pensions at a Glance 2025</w:t>
        </w:r>
      </w:hyperlink>
      <w:r>
        <w:rPr/>
        <w:t xml:space="preserve"> ; </w:t>
      </w:r>
      <w:hyperlink r:id="rLink21">
        <w:r>
          <w:rPr>
            <w:color w:val="243B55"/>
            <w:u w:val="single"/>
          </w:rPr>
          <w:t xml:space="preserve">données préliminaires sur l’aide 2025 (avril 2026)</w:t>
        </w:r>
      </w:hyperlink>
    </w:p>
    <w:p>
      <w:pPr>
        <w:pStyle w:val="normal1"/>
        <w:numPr>
          <w:ilvl w:val="0"/>
          <w:numId w:val="1"/>
        </w:numPr>
        <w:spacing w:before="0" w:after="60"/>
        <w:rPr/>
      </w:pPr>
      <w:hyperlink r:id="rLink22">
        <w:r>
          <w:rPr>
            <w:color w:val="243B55"/>
            <w:u w:val="single"/>
          </w:rPr>
          <w:t xml:space="preserve">OMS, Commission sur le lien social (juin 2025)</w:t>
        </w:r>
      </w:hyperlink>
      <w:r>
        <w:rPr/>
        <w:t xml:space="preserve"> ; </w:t>
      </w:r>
      <w:hyperlink r:id="rLink23">
        <w:r>
          <w:rPr>
            <w:color w:val="243B55"/>
            <w:u w:val="single"/>
          </w:rPr>
          <w:t xml:space="preserve">violence contre les femmes (novembre 2025)</w:t>
        </w:r>
      </w:hyperlink>
      <w:r>
        <w:rPr/>
        <w:t xml:space="preserve"> ; </w:t>
      </w:r>
      <w:hyperlink r:id="rLink24">
        <w:r>
          <w:rPr>
            <w:color w:val="243B55"/>
            <w:u w:val="single"/>
          </w:rPr>
          <w:t xml:space="preserve">personnel de santé</w:t>
        </w:r>
      </w:hyperlink>
      <w:r>
        <w:rPr/>
        <w:t xml:space="preserve"> ; </w:t>
      </w:r>
      <w:hyperlink r:id="rLink25">
        <w:r>
          <w:rPr>
            <w:color w:val="243B55"/>
            <w:u w:val="single"/>
          </w:rPr>
          <w:t xml:space="preserve">santé mentale des adolescents</w:t>
        </w:r>
      </w:hyperlink>
    </w:p>
    <w:p>
      <w:pPr>
        <w:pStyle w:val="normal1"/>
        <w:numPr>
          <w:ilvl w:val="0"/>
          <w:numId w:val="1"/>
        </w:numPr>
        <w:spacing w:before="0" w:after="60"/>
        <w:rPr/>
      </w:pPr>
      <w:hyperlink r:id="rLink26">
        <w:r>
          <w:rPr>
            <w:color w:val="243B55"/>
            <w:u w:val="single"/>
          </w:rPr>
          <w:t xml:space="preserve">OMS et autres agences de l’ONU, Trends in Maternal Mortality 2000-2023 (2025)</w:t>
        </w:r>
      </w:hyperlink>
    </w:p>
    <w:p>
      <w:pPr>
        <w:pStyle w:val="normal1"/>
        <w:numPr>
          <w:ilvl w:val="0"/>
          <w:numId w:val="1"/>
        </w:numPr>
        <w:spacing w:before="0" w:after="60"/>
        <w:rPr/>
      </w:pPr>
      <w:hyperlink r:id="rLink27">
        <w:r>
          <w:rPr>
            <w:color w:val="243B55"/>
            <w:u w:val="single"/>
          </w:rPr>
          <w:t xml:space="preserve">OMS et UNICEF, eau et assainissement 2000-2024 (août 2025)</w:t>
        </w:r>
      </w:hyperlink>
    </w:p>
    <w:p>
      <w:pPr>
        <w:pStyle w:val="normal1"/>
        <w:numPr>
          <w:ilvl w:val="0"/>
          <w:numId w:val="1"/>
        </w:numPr>
        <w:spacing w:before="0" w:after="60"/>
        <w:rPr/>
      </w:pPr>
      <w:hyperlink r:id="rLink28">
        <w:r>
          <w:rPr>
            <w:color w:val="243B55"/>
            <w:u w:val="single"/>
          </w:rPr>
          <w:t xml:space="preserve">ONU, World Population Prospects 2024</w:t>
        </w:r>
      </w:hyperlink>
    </w:p>
    <w:p>
      <w:pPr>
        <w:pStyle w:val="normal1"/>
        <w:numPr>
          <w:ilvl w:val="0"/>
          <w:numId w:val="1"/>
        </w:numPr>
        <w:spacing w:before="0" w:after="60"/>
        <w:rPr/>
      </w:pPr>
      <w:hyperlink r:id="rLink29">
        <w:r>
          <w:rPr>
            <w:color w:val="243B55"/>
            <w:u w:val="single"/>
          </w:rPr>
          <w:t xml:space="preserve">Oxfam, Resisting the Rule of the Rich (janvier 2026)</w:t>
        </w:r>
      </w:hyperlink>
    </w:p>
    <w:p>
      <w:pPr>
        <w:pStyle w:val="normal1"/>
        <w:numPr>
          <w:ilvl w:val="0"/>
          <w:numId w:val="1"/>
        </w:numPr>
        <w:spacing w:before="0" w:after="60"/>
        <w:rPr/>
      </w:pPr>
      <w:hyperlink r:id="rLink30">
        <w:r>
          <w:rPr>
            <w:color w:val="243B55"/>
            <w:u w:val="single"/>
          </w:rPr>
          <w:t xml:space="preserve">SIPRI, dépenses militaires mondiales 2025 (avril 2026)</w:t>
        </w:r>
      </w:hyperlink>
      <w:r>
        <w:rPr/>
        <w:t xml:space="preserve"> ; </w:t>
      </w:r>
      <w:hyperlink r:id="rLink31">
        <w:r>
          <w:rPr>
            <w:color w:val="243B55"/>
            <w:u w:val="single"/>
          </w:rPr>
          <w:t xml:space="preserve">SIPRI Yearbook 2026</w:t>
        </w:r>
      </w:hyperlink>
    </w:p>
    <w:p>
      <w:pPr>
        <w:pStyle w:val="normal1"/>
        <w:numPr>
          <w:ilvl w:val="0"/>
          <w:numId w:val="1"/>
        </w:numPr>
        <w:spacing w:before="0" w:after="60"/>
        <w:rPr/>
      </w:pPr>
      <w:hyperlink r:id="rLink32">
        <w:r>
          <w:rPr>
            <w:color w:val="243B55"/>
            <w:u w:val="single"/>
          </w:rPr>
          <w:t xml:space="preserve">Stockholm Resilience Centre et PIK, Planetary Health Check 2025</w:t>
        </w:r>
      </w:hyperlink>
    </w:p>
    <w:p>
      <w:pPr>
        <w:pStyle w:val="normal1"/>
        <w:numPr>
          <w:ilvl w:val="0"/>
          <w:numId w:val="1"/>
        </w:numPr>
        <w:spacing w:before="0" w:after="60"/>
        <w:rPr/>
      </w:pPr>
      <w:hyperlink r:id="rLink33">
        <w:r>
          <w:rPr>
            <w:color w:val="243B55"/>
            <w:u w:val="single"/>
          </w:rPr>
          <w:t xml:space="preserve">Tracking SDG7, The Energy Progress Report 2026</w:t>
        </w:r>
      </w:hyperlink>
    </w:p>
    <w:p>
      <w:pPr>
        <w:pStyle w:val="normal1"/>
        <w:numPr>
          <w:ilvl w:val="0"/>
          <w:numId w:val="1"/>
        </w:numPr>
        <w:spacing w:before="0" w:after="60"/>
        <w:rPr/>
      </w:pPr>
      <w:hyperlink r:id="rLink34">
        <w:r>
          <w:rPr>
            <w:color w:val="243B55"/>
            <w:u w:val="single"/>
          </w:rPr>
          <w:t xml:space="preserve">UCDP, Université d’Uppsala (juin 2026)</w:t>
        </w:r>
      </w:hyperlink>
    </w:p>
    <w:p>
      <w:pPr>
        <w:pStyle w:val="normal1"/>
        <w:numPr>
          <w:ilvl w:val="0"/>
          <w:numId w:val="1"/>
        </w:numPr>
        <w:spacing w:before="0" w:after="60"/>
        <w:rPr/>
      </w:pPr>
      <w:hyperlink r:id="rLink35">
        <w:r>
          <w:rPr>
            <w:color w:val="243B55"/>
            <w:u w:val="single"/>
          </w:rPr>
          <w:t xml:space="preserve">UN IGME, Levels and Trends in Child Mortality (mars 2026)</w:t>
        </w:r>
      </w:hyperlink>
      <w:r>
        <w:rPr/>
        <w:t xml:space="preserve"> ; </w:t>
      </w:r>
      <w:hyperlink r:id="rLink36">
        <w:r>
          <w:rPr>
            <w:color w:val="243B55"/>
            <w:u w:val="single"/>
          </w:rPr>
          <w:t xml:space="preserve">série historique de l’UNICEF</w:t>
        </w:r>
      </w:hyperlink>
    </w:p>
    <w:p>
      <w:pPr>
        <w:pStyle w:val="normal1"/>
        <w:numPr>
          <w:ilvl w:val="0"/>
          <w:numId w:val="1"/>
        </w:numPr>
        <w:spacing w:before="0" w:after="60"/>
        <w:rPr/>
      </w:pPr>
      <w:hyperlink r:id="rLink37">
        <w:r>
          <w:rPr>
            <w:color w:val="243B55"/>
            <w:u w:val="single"/>
          </w:rPr>
          <w:t xml:space="preserve">ONU-Habitat, estimations sur le logement (2025)</w:t>
        </w:r>
      </w:hyperlink>
    </w:p>
    <w:p>
      <w:pPr>
        <w:pStyle w:val="normal1"/>
        <w:numPr>
          <w:ilvl w:val="0"/>
          <w:numId w:val="1"/>
        </w:numPr>
        <w:spacing w:before="0" w:after="60"/>
        <w:rPr/>
      </w:pPr>
      <w:hyperlink r:id="rLink38">
        <w:r>
          <w:rPr>
            <w:color w:val="243B55"/>
            <w:u w:val="single"/>
          </w:rPr>
          <w:t xml:space="preserve">CNUCED, Global Trade Update (décembre 2025)</w:t>
        </w:r>
      </w:hyperlink>
    </w:p>
    <w:p>
      <w:pPr>
        <w:pStyle w:val="normal1"/>
        <w:numPr>
          <w:ilvl w:val="0"/>
          <w:numId w:val="1"/>
        </w:numPr>
        <w:spacing w:before="0" w:after="60"/>
        <w:rPr/>
      </w:pPr>
      <w:hyperlink r:id="rLink39">
        <w:r>
          <w:rPr>
            <w:color w:val="243B55"/>
            <w:u w:val="single"/>
          </w:rPr>
          <w:t xml:space="preserve">PNUE, Emissions Gap Report 2025</w:t>
        </w:r>
      </w:hyperlink>
      <w:r>
        <w:rPr/>
        <w:t xml:space="preserve"> ; </w:t>
      </w:r>
      <w:hyperlink r:id="rLink40">
        <w:r>
          <w:rPr>
            <w:color w:val="243B55"/>
            <w:u w:val="single"/>
          </w:rPr>
          <w:t xml:space="preserve">Adaptation Gap Report 2025</w:t>
        </w:r>
      </w:hyperlink>
      <w:r>
        <w:rPr/>
        <w:t xml:space="preserve"> ; </w:t>
      </w:r>
      <w:hyperlink r:id="rLink41">
        <w:r>
          <w:rPr>
            <w:color w:val="243B55"/>
            <w:u w:val="single"/>
          </w:rPr>
          <w:t xml:space="preserve">Food Waste Index Report 2024</w:t>
        </w:r>
      </w:hyperlink>
      <w:r>
        <w:rPr/>
        <w:t xml:space="preserve"> ; </w:t>
      </w:r>
      <w:hyperlink r:id="rLink42">
        <w:r>
          <w:rPr>
            <w:color w:val="243B55"/>
            <w:u w:val="single"/>
          </w:rPr>
          <w:t xml:space="preserve">Global Resources Outlook 2024</w:t>
        </w:r>
      </w:hyperlink>
      <w:r>
        <w:rPr/>
        <w:t xml:space="preserve"> ; </w:t>
      </w:r>
      <w:hyperlink r:id="rLink43">
        <w:r>
          <w:rPr>
            <w:color w:val="243B55"/>
            <w:u w:val="single"/>
          </w:rPr>
          <w:t xml:space="preserve">Journée internationale zéro déchet 2025</w:t>
        </w:r>
      </w:hyperlink>
    </w:p>
    <w:p>
      <w:pPr>
        <w:pStyle w:val="normal1"/>
        <w:numPr>
          <w:ilvl w:val="0"/>
          <w:numId w:val="1"/>
        </w:numPr>
        <w:spacing w:before="0" w:after="60"/>
        <w:rPr/>
      </w:pPr>
      <w:hyperlink r:id="rLink44">
        <w:r>
          <w:rPr>
            <w:color w:val="243B55"/>
            <w:u w:val="single"/>
          </w:rPr>
          <w:t xml:space="preserve">UNESCO, données sur les enfants non scolarisés (2026)</w:t>
        </w:r>
      </w:hyperlink>
    </w:p>
    <w:p>
      <w:pPr>
        <w:pStyle w:val="normal1"/>
        <w:numPr>
          <w:ilvl w:val="0"/>
          <w:numId w:val="1"/>
        </w:numPr>
        <w:spacing w:before="0" w:after="60"/>
        <w:rPr/>
      </w:pPr>
      <w:hyperlink r:id="rLink45">
        <w:r>
          <w:rPr>
            <w:color w:val="243B55"/>
            <w:u w:val="single"/>
          </w:rPr>
          <w:t xml:space="preserve">HCR, Global Trends (juin 2026)</w:t>
        </w:r>
      </w:hyperlink>
    </w:p>
    <w:p>
      <w:pPr>
        <w:pStyle w:val="normal1"/>
        <w:numPr>
          <w:ilvl w:val="0"/>
          <w:numId w:val="1"/>
        </w:numPr>
        <w:spacing w:before="0" w:after="60"/>
        <w:rPr/>
      </w:pPr>
      <w:hyperlink r:id="rLink46">
        <w:r>
          <w:rPr>
            <w:color w:val="243B55"/>
            <w:u w:val="single"/>
          </w:rPr>
          <w:t xml:space="preserve">WEF, Global Cybersecurity Outlook 2026</w:t>
        </w:r>
      </w:hyperlink>
    </w:p>
    <w:p>
      <w:pPr>
        <w:pStyle w:val="normal1"/>
        <w:numPr>
          <w:ilvl w:val="0"/>
          <w:numId w:val="1"/>
        </w:numPr>
        <w:spacing w:before="0" w:after="60"/>
        <w:rPr/>
      </w:pPr>
      <w:hyperlink r:id="rLink47">
        <w:r>
          <w:rPr>
            <w:color w:val="243B55"/>
            <w:u w:val="single"/>
          </w:rPr>
          <w:t xml:space="preserve">OMM, température mondiale 2025 (2026)</w:t>
        </w:r>
      </w:hyperlink>
      <w:r>
        <w:rPr/>
        <w:t xml:space="preserve"> ; </w:t>
      </w:r>
      <w:hyperlink r:id="rLink48">
        <w:r>
          <w:rPr>
            <w:color w:val="243B55"/>
            <w:u w:val="single"/>
          </w:rPr>
          <w:t xml:space="preserve">Ozone Bulletin (septembre 2025)</w:t>
        </w:r>
      </w:hyperlink>
    </w:p>
    <w:p>
      <w:pPr>
        <w:pStyle w:val="normal1"/>
        <w:numPr>
          <w:ilvl w:val="0"/>
          <w:numId w:val="1"/>
        </w:numPr>
        <w:spacing w:before="0" w:after="60"/>
        <w:rPr/>
      </w:pPr>
      <w:hyperlink r:id="rLink49">
        <w:r>
          <w:rPr>
            <w:color w:val="243B55"/>
            <w:u w:val="single"/>
          </w:rPr>
          <w:t xml:space="preserve">World Inequality Report 2026</w:t>
        </w:r>
      </w:hyperlink>
    </w:p>
    <w:p>
      <w:pPr>
        <w:pStyle w:val="normal1"/>
        <w:numPr>
          <w:ilvl w:val="0"/>
          <w:numId w:val="1"/>
        </w:numPr>
        <w:spacing w:before="0" w:after="160"/>
        <w:rPr/>
      </w:pPr>
      <w:hyperlink r:id="rLink50">
        <w:r>
          <w:rPr>
            <w:color w:val="243B55"/>
            <w:u w:val="single"/>
          </w:rPr>
          <w:t xml:space="preserve">WWF, Living Planet Report 2024</w:t>
        </w:r>
      </w:hyperlink>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Inter">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924" w:hanging="357"/>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2B303A"/>
        <w:sz w:val="22"/>
        <w:szCs w:val="22"/>
        <w:lang w:val="fr-FR" w:eastAsia="zh-CN" w:bidi="hi-IN"/>
      </w:rPr>
    </w:rPrDefault>
    <w:pPrDefault>
      <w:pPr>
        <w:suppressAutoHyphens w:val="true"/>
      </w:pPr>
    </w:pPrDefault>
  </w:docDefaults>
  <w:style w:type="paragraph" w:styleId="Normal">
    <w:name w:val="Normal"/>
    <w:qFormat/>
    <w:pPr>
      <w:widowControl/>
      <w:bidi w:val="0"/>
      <w:spacing w:lineRule="auto" w:line="312" w:before="0" w:after="0"/>
      <w:jc w:val="start"/>
    </w:pPr>
    <w:rPr>
      <w:rFonts w:ascii="Inter" w:hAnsi="Inter" w:eastAsia="Inter" w:cs="Inter"/>
      <w:color w:val="2B303A"/>
      <w:kern w:val="0"/>
      <w:sz w:val="22"/>
      <w:szCs w:val="22"/>
      <w:lang w:val="fr-FR" w:eastAsia="zh-CN" w:bidi="hi-IN"/>
    </w:rPr>
  </w:style>
  <w:style w:type="paragraph" w:styleId="Heading1">
    <w:name w:val="heading 1"/>
    <w:basedOn w:val="normal1"/>
    <w:next w:val="normal1"/>
    <w:qFormat/>
    <w:pPr>
      <w:keepNext w:val="true"/>
      <w:keepLines/>
      <w:pageBreakBefore w:val="false"/>
      <w:spacing w:lineRule="auto" w:line="276" w:before="480" w:after="120"/>
    </w:pPr>
    <w:rPr>
      <w:rFonts w:ascii="Inter" w:hAnsi="Inter" w:eastAsia="Inter" w:cs="Inter"/>
      <w:b/>
      <w:bCs/>
      <w:i w:val="false"/>
      <w:iCs w:val="false"/>
      <w:color w:val="243B55"/>
      <w:sz w:val="36"/>
      <w:szCs w:val="36"/>
    </w:rPr>
  </w:style>
  <w:style w:type="paragraph" w:styleId="Heading2">
    <w:name w:val="heading 2"/>
    <w:basedOn w:val="normal1"/>
    <w:next w:val="normal1"/>
    <w:qFormat/>
    <w:pPr>
      <w:keepNext w:val="true"/>
      <w:keepLines/>
      <w:pageBreakBefore w:val="false"/>
      <w:spacing w:lineRule="auto" w:line="276" w:before="360" w:after="80"/>
    </w:pPr>
    <w:rPr>
      <w:rFonts w:ascii="Inter" w:hAnsi="Inter" w:eastAsia="Inter" w:cs="Inter"/>
      <w:b/>
      <w:bCs/>
      <w:i w:val="false"/>
      <w:iCs w:val="false"/>
      <w:color w:val="3A506B"/>
      <w:sz w:val="28"/>
      <w:szCs w:val="28"/>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normal1" w:default="1">
    <w:name w:val="normal1"/>
    <w:qFormat/>
    <w:pPr>
      <w:widowControl/>
      <w:bidi w:val="0"/>
      <w:spacing w:lineRule="auto" w:line="312" w:before="0" w:after="0"/>
      <w:jc w:val="start"/>
    </w:pPr>
    <w:rPr>
      <w:rFonts w:ascii="Inter" w:hAnsi="Inter" w:eastAsia="Inter" w:cs="Inter"/>
      <w:color w:val="2B303A"/>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480" w:after="120"/>
    </w:pPr>
    <w:rPr>
      <w:rFonts w:ascii="Inter" w:hAnsi="Inter" w:eastAsia="Inter" w:cs="Inter"/>
      <w:b/>
      <w:bCs/>
      <w:i w:val="false"/>
      <w:iCs w:val="false"/>
      <w:color w:val="1A2332"/>
      <w:sz w:val="52"/>
      <w:szCs w:val="52"/>
    </w:rPr>
  </w:style>
  <w:style w:type="paragraph" w:styleId="Subtitle">
    <w:name w:val="Subtitle"/>
    <w:basedOn w:val="normal1"/>
    <w:next w:val="normal1"/>
    <w:qFormat/>
    <w:pPr>
      <w:keepNext w:val="true"/>
      <w:keepLines/>
      <w:pageBreakBefore w:val="false"/>
      <w:spacing w:lineRule="auto" w:line="276" w:before="360" w:after="80"/>
    </w:pPr>
    <w:rPr>
      <w:rFonts w:ascii="Inter" w:hAnsi="Inter" w:eastAsia="Inter" w:cs="Inter"/>
      <w:b w:val="false"/>
      <w:bCs w:val="false"/>
      <w:i/>
      <w:iCs/>
      <w:color w:val="5C6B73"/>
      <w:sz w:val="26"/>
      <w:szCs w:val="26"/>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Link1" Type="http://schemas.openxmlformats.org/officeDocument/2006/relationships/hyperlink" Target="https://www.worldbank.org/en/news/factsheet/2025/06/05/june-2025-update-to-global-poverty-lines" TargetMode="External"/><Relationship Id="rLink2" Type="http://schemas.openxmlformats.org/officeDocument/2006/relationships/hyperlink" Target="https://humanprogress.org/global-extreme-poverty-rate-fell-from-2022-to-2025/" TargetMode="External"/><Relationship Id="rLink3" Type="http://schemas.openxmlformats.org/officeDocument/2006/relationships/hyperlink" Target="https://www.coe.int/web/prison/-/serious-overcrowding-and-increasing-proportions-of-older-and-women-detainees-in-european-prisons" TargetMode="External"/><Relationship Id="rLink4" Type="http://schemas.openxmlformats.org/officeDocument/2006/relationships/hyperlink" Target="https://ember-energy.org/latest-insights/global-electricity-review-2026/" TargetMode="External"/><Relationship Id="rLink5" Type="http://schemas.openxmlformats.org/officeDocument/2006/relationships/hyperlink" Target="https://ec.europa.eu/eurostat/web/products-eurostat-news/w/ddn-20250704-4" TargetMode="External"/><Relationship Id="rLink6" Type="http://schemas.openxmlformats.org/officeDocument/2006/relationships/hyperlink" Target="https://www.fao.org/newsroom/detail/global-deforestation-slows--but-forests-remain-under-pressure--fao-report-shows/en" TargetMode="External"/><Relationship Id="rLink7" Type="http://schemas.openxmlformats.org/officeDocument/2006/relationships/hyperlink" Target="https://www.unicef.ca/en/press-release/un-report-global-hunger-levels-ease-third-consecutive-year-regional-disparities" TargetMode="External"/><Relationship Id="rLink8" Type="http://schemas.openxmlformats.org/officeDocument/2006/relationships/hyperlink" Target="https://www.imf.org/external/datamapper/GDD/2025%20Global%20Debt%20Monitor.pdf" TargetMode="External"/><Relationship Id="rLink9" Type="http://schemas.openxmlformats.org/officeDocument/2006/relationships/hyperlink" Target="https://freedomhouse.org/article/new-report-global-freedom-declined-20th-consecutive-year-2025" TargetMode="External"/><Relationship Id="rLink10" Type="http://schemas.openxmlformats.org/officeDocument/2006/relationships/hyperlink" Target="https://globalcarbonbudget.org/fossil-fuel-co2-emissions-hit-record-high-in-2025/" TargetMode="External"/><Relationship Id="rLink11" Type="http://schemas.openxmlformats.org/officeDocument/2006/relationships/hyperlink" Target="https://janataweekly.org/more-than-2-1-billion-of-worlds-3-6-billion-workers-are-in-the-informal-economy/" TargetMode="External"/><Relationship Id="rLink12" Type="http://schemas.openxmlformats.org/officeDocument/2006/relationships/hyperlink" Target="https://www.ungeneva.org/en/news-media/news/2024/11/100793/wages-are-recovering-after-negative-shift-2022-says-un-labour-agency" TargetMode="External"/><Relationship Id="rLink13" Type="http://schemas.openxmlformats.org/officeDocument/2006/relationships/hyperlink" Target="https://www.ilo.org/resource/news/one-four-jobs-risk-being-transformed-genai-new-ilo&#8211;nask-global-index-shows" TargetMode="External"/><Relationship Id="rLink14" Type="http://schemas.openxmlformats.org/officeDocument/2006/relationships/hyperlink" Target="https://africanews.com/2025/06/11/138-million-child-workers-globally-in-2024-number-down-from-2020/" TargetMode="External"/><Relationship Id="rLink15" Type="http://schemas.openxmlformats.org/officeDocument/2006/relationships/hyperlink" Target="https://www.iom.int/news/50-million-people-worldwide-modern-slavery" TargetMode="External"/><Relationship Id="rLink16" Type="http://schemas.openxmlformats.org/officeDocument/2006/relationships/hyperlink" Target="https://solarquarter.com/2026/04/01/irena-reports-global-renewable-capacity-hits-5149-gw-in-2025-s-world-adds-record-692-gw/" TargetMode="External"/><Relationship Id="rLink17" Type="http://schemas.openxmlformats.org/officeDocument/2006/relationships/hyperlink" Target="https://www.itu.int/en/mediacentre/Pages/PR-2025-11-17-Facts-and-Figures.aspx" TargetMode="External"/><Relationship Id="rLink18" Type="http://schemas.openxmlformats.org/officeDocument/2006/relationships/hyperlink" Target="https://noticiasambientales.com/environment-en/last-year-44-species-were-declared-extinct-and-48600-more-are-still-endangered-according-to-the-iucn-red-list/" TargetMode="External"/><Relationship Id="rLink19" Type="http://schemas.openxmlformats.org/officeDocument/2006/relationships/hyperlink" Target="https://www.oecd.org/en/about/news/press-releases/2026/06/trust-steadies-but-people-still-do-not-feel-heard-oecd-trust-survey.html" TargetMode="External"/><Relationship Id="rLink20" Type="http://schemas.openxmlformats.org/officeDocument/2006/relationships/hyperlink" Target="https://www.agenzianova.com/en/news/in-2050-there-will-be-52-elderly-people-for-every-100-people-under-65/" TargetMode="External"/><Relationship Id="rLink21" Type="http://schemas.openxmlformats.org/officeDocument/2006/relationships/hyperlink" Target="https://valtioneuvosto.fi/en/-/2025-saw-historic-decline-in-international-development-finance" TargetMode="External"/><Relationship Id="rLink22" Type="http://schemas.openxmlformats.org/officeDocument/2006/relationships/hyperlink" Target="https://who.int/news/item/30-06-2025-social-connection-linked-to-improved-heath-and-reduced-risk-of-early-death" TargetMode="External"/><Relationship Id="rLink23" Type="http://schemas.openxmlformats.org/officeDocument/2006/relationships/hyperlink" Target="https://www.who.int/news/item/19-11-2025-lifetime-toll--840-million-women-faced-partner-or-sexual-violence" TargetMode="External"/><Relationship Id="rLink24" Type="http://schemas.openxmlformats.org/officeDocument/2006/relationships/hyperlink" Target="https://www.who.int/health-topics/health-workforce" TargetMode="External"/><Relationship Id="rLink25" Type="http://schemas.openxmlformats.org/officeDocument/2006/relationships/hyperlink" Target="https://www.who.int/news-room/fact-sheets/detail/mental-health-of-adolescents" TargetMode="External"/><Relationship Id="rLink26" Type="http://schemas.openxmlformats.org/officeDocument/2006/relationships/hyperlink" Target="https://www.unfpa.org/publications/trends-maternal-mortality-2000-2023" TargetMode="External"/><Relationship Id="rLink27" Type="http://schemas.openxmlformats.org/officeDocument/2006/relationships/hyperlink" Target="https://www.who.int/news/item/26-08-2025-1-in-4-people-globally-still-lack-access-to-safe-drinking-water---who--unicef" TargetMode="External"/><Relationship Id="rLink28" Type="http://schemas.openxmlformats.org/officeDocument/2006/relationships/hyperlink" Target="https://www.un.org/sustainabledevelopment/blog/2024/07/press-release-wpp2024/" TargetMode="External"/><Relationship Id="rLink29" Type="http://schemas.openxmlformats.org/officeDocument/2006/relationships/hyperlink" Target="https://www.finews.asia/finance/44581-oxfam-billionaires-world-economic-forum" TargetMode="External"/><Relationship Id="rLink30" Type="http://schemas.openxmlformats.org/officeDocument/2006/relationships/hyperlink" Target="https://www.eurointegration.com.ua/eng/news/2026/04/27/7236309/" TargetMode="External"/><Relationship Id="rLink31" Type="http://schemas.openxmlformats.org/officeDocument/2006/relationships/hyperlink" Target="https://defence-blog.com/?p=100928" TargetMode="External"/><Relationship Id="rLink32" Type="http://schemas.openxmlformats.org/officeDocument/2006/relationships/hyperlink" Target="https://www.stockholmresilience.org/news--events/general-news/2025-09-24-seven-of-nine-planetary-boundaries-now-breached" TargetMode="External"/><Relationship Id="rLink33" Type="http://schemas.openxmlformats.org/officeDocument/2006/relationships/hyperlink" Target="https://www.pveurope.eu/markets/un-report-655-million-people-still-lack-electricity-access" TargetMode="External"/><Relationship Id="rLink34" Type="http://schemas.openxmlformats.org/officeDocument/2006/relationships/hyperlink" Target="https://www.mynewsdesk.com/uu/pressreleases/ucdp-record-number-of-conflicts-between-states-3453043" TargetMode="External"/><Relationship Id="rLink35" Type="http://schemas.openxmlformats.org/officeDocument/2006/relationships/hyperlink" Target="https://www.unicef.org/press-releases/progress-reducing-child-deaths-slows-49-million-children-under-five-die-2024" TargetMode="External"/><Relationship Id="rLink36" Type="http://schemas.openxmlformats.org/officeDocument/2006/relationships/hyperlink" Target="https://data.unicef.org/topic/child-survival/under-five-mortality/" TargetMode="External"/><Relationship Id="rLink37" Type="http://schemas.openxmlformats.org/officeDocument/2006/relationships/hyperlink" Target="https://social.desa.un.org/world-summit-2025/blog/300million-people-homeless-worldwide" TargetMode="External"/><Relationship Id="rLink38" Type="http://schemas.openxmlformats.org/officeDocument/2006/relationships/hyperlink" Target="https://unctad.org/news/global-trade-hit-record-35-trillion-despite-slowing-momentum" TargetMode="External"/><Relationship Id="rLink39" Type="http://schemas.openxmlformats.org/officeDocument/2006/relationships/hyperlink" Target="https://unep.org/resources/emissions-gap-report-2025" TargetMode="External"/><Relationship Id="rLink40" Type="http://schemas.openxmlformats.org/officeDocument/2006/relationships/hyperlink" Target="https://www.unep.org/resources/adaptation-gap-report-2025" TargetMode="External"/><Relationship Id="rLink41" Type="http://schemas.openxmlformats.org/officeDocument/2006/relationships/hyperlink" Target="https://news.un.org/en/node/1148036" TargetMode="External"/><Relationship Id="rLink42" Type="http://schemas.openxmlformats.org/officeDocument/2006/relationships/hyperlink" Target="https://resourcepanel.org/news-events/global-resources-outlook-2024-press-release" TargetMode="External"/><Relationship Id="rLink43" Type="http://schemas.openxmlformats.org/officeDocument/2006/relationships/hyperlink" Target="https://unep.org/events/un-day/international-day-zero-waste-2025" TargetMode="External"/><Relationship Id="rLink44" Type="http://schemas.openxmlformats.org/officeDocument/2006/relationships/hyperlink" Target="https://www.bluewin.ch/en/news/international/un-273-million-children-and-young-people-without-access-to-school-li.3160861" TargetMode="External"/><Relationship Id="rLink45" Type="http://schemas.openxmlformats.org/officeDocument/2006/relationships/hyperlink" Target="https://www.unrefugees.org/news/2026/6/five-takeaways-from-the-2025-unhcr-global-trends-report/" TargetMode="External"/><Relationship Id="rLink46" Type="http://schemas.openxmlformats.org/officeDocument/2006/relationships/hyperlink" Target="https://www.admin-it.io/ai-related-vulnerabilities-cited-as-fastest-growing-cybersecurity-risk-in-wef-report/" TargetMode="External"/><Relationship Id="rLink47" Type="http://schemas.openxmlformats.org/officeDocument/2006/relationships/hyperlink" Target="https://public.wmo.int/node/38189" TargetMode="External"/><Relationship Id="rLink48" Type="http://schemas.openxmlformats.org/officeDocument/2006/relationships/hyperlink" Target="https://wmo.int/node/31303" TargetMode="External"/><Relationship Id="rLink49" Type="http://schemas.openxmlformats.org/officeDocument/2006/relationships/hyperlink" Target="https://www.socialjustice.ie/node/7308" TargetMode="External"/><Relationship Id="rLink50" Type="http://schemas.openxmlformats.org/officeDocument/2006/relationships/hyperlink" Target="https://www.worldwildlife.org/press-releases/catastrophic-73-decline-in-the-average-size-of-global-wildlife-populations-in-just-50-years-reveals-a-system-in-peril" TargetMode="External"/></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2</Pages>
  <Words>3413</Words>
  <Characters>21261</Characters>
  <CharactersWithSpaces>24369</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
</cp:coreProperties>
</file>