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Results: Cyber Warfare</w:t>
      </w:r>
    </w:p>
    <w:p>
      <w:r>
        <w:rPr>
          <w:b w:val="0"/>
          <w:i/>
        </w:rPr>
        <w:t>Results of the 15 studies in the narrative review, with a data analysis plan for your own study</w:t>
      </w:r>
    </w:p>
    <w:p>
      <w:r>
        <w:rPr>
          <w:b/>
          <w:i/>
        </w:rPr>
        <w:t>How to complete these results.</w:t>
      </w:r>
      <w:r>
        <w:rPr>
          <w:b w:val="0"/>
          <w:i/>
        </w:rPr>
        <w:t xml:space="preserve"> The findings below come from the reviewed studies. Where your own results go, the text is marked </w:t>
      </w:r>
      <w:r>
        <w:rPr>
          <w:b/>
          <w:i/>
          <w:highlight w:val="yellow"/>
        </w:rPr>
        <w:t>[YOUR DATA ANALYSIS]</w:t>
      </w:r>
      <w:r>
        <w:rPr>
          <w:b w:val="0"/>
          <w:i/>
        </w:rPr>
        <w:t xml:space="preserve">: report what your data show on that point and how it compares with the studies. Where you choose your analysis, it is marked </w:t>
      </w:r>
      <w:r>
        <w:rPr>
          <w:b/>
          <w:i/>
          <w:highlight w:val="yellow"/>
        </w:rPr>
        <w:t>[YOUR ANALYSIS METHOD]</w:t>
      </w:r>
      <w:r>
        <w:rPr>
          <w:b w:val="0"/>
          <w:i/>
        </w:rPr>
        <w:t>. Quotation marks enclose the papers' own words from their abstracts; findings taken from the Phase 1 summaries are paraphrases and say so.</w:t>
      </w:r>
    </w:p>
    <w:p>
      <w:pPr>
        <w:pStyle w:val="Heading2"/>
      </w:pPr>
      <w:r>
        <w:t>1. Overview of Findings</w:t>
      </w:r>
    </w:p>
    <w:p>
      <w:r>
        <w:rPr>
          <w:b w:val="0"/>
          <w:i w:val="0"/>
        </w:rPr>
        <w:t>The 15 studies reviewed on Cyber Warfare report conceptual / argument results (4), quantitative results (4), not clear from the abstract results (3), qualitative results (2) and synthesis of prior studies results (2). None of the abstracts reports statistics or effect sizes, so the results below are stated in words; extract the numbers from the full texts where they exist. Two studies state their sample size (Ahmed et al., 2024; Huang et al., 2024). One finding is reported by more than one study (challenges associated): 1 consistent, 0 contradictory and 0 mixed. In engineering and computing, results are reported as performance metrics against baselines on named datasets or test settings, ideally with the variation across repeated runs.</w:t>
      </w:r>
    </w:p>
    <w:p>
      <w:pPr>
        <w:pStyle w:val="Heading2"/>
      </w:pPr>
      <w:r>
        <w:t>2. Findings Across the Studies</w:t>
      </w:r>
    </w:p>
    <w:p>
      <w:pPr>
        <w:pStyle w:val="Heading3"/>
      </w:pPr>
      <w:r>
        <w:t>2.1 Challenges associated</w:t>
      </w:r>
    </w:p>
    <w:p>
      <w:r>
        <w:rPr>
          <w:b w:val="0"/>
          <w:i w:val="0"/>
        </w:rPr>
        <w:t>Two of the 15 studies report findings on challenges associated (Li et al., 2024; Bouke et al., 2023).</w:t>
      </w:r>
    </w:p>
    <w:p>
      <w:pPr>
        <w:pStyle w:val="ListBullet"/>
      </w:pPr>
      <w:r>
        <w:rPr>
          <w:b/>
          <w:i w:val="0"/>
        </w:rPr>
        <w:t>Li et al. (2024)</w:t>
      </w:r>
      <w:r>
        <w:rPr>
          <w:b w:val="0"/>
          <w:i w:val="0"/>
        </w:rPr>
        <w:t xml:space="preserve"> (conceptual / theoretical analysis; sample: size not stated): "This chapter concludes with a discussion of the challenges associated with FMs and their application in the domain of cybersecurity." (Li et al., 2024)</w:t>
      </w:r>
    </w:p>
    <w:p>
      <w:pPr>
        <w:pStyle w:val="ListBullet"/>
      </w:pPr>
      <w:r>
        <w:rPr>
          <w:b/>
          <w:i w:val="0"/>
        </w:rPr>
        <w:t>Bouke et al. (2023)</w:t>
      </w:r>
      <w:r>
        <w:rPr>
          <w:b w:val="0"/>
          <w:i w:val="0"/>
        </w:rPr>
        <w:t xml:space="preserve"> (unclear from the abstract; sample: size not stated): "The research's novelty lies in examining real-world examples and proposing a multifaceted approach to address the challenges associated with turnkey technology in cyber warfare." (Bouke et al., 2023)</w:t>
      </w:r>
    </w:p>
    <w:p>
      <w:r>
        <w:rPr>
          <w:b/>
          <w:i w:val="0"/>
        </w:rPr>
        <w:t>Strength of evidence: consistent.</w:t>
      </w:r>
      <w:r>
        <w:rPr>
          <w:b w:val="0"/>
          <w:i w:val="0"/>
        </w:rPr>
        <w:t xml:space="preserve"> The studies' findings point the same way (qualifies: 2). </w:t>
      </w:r>
      <w:r>
        <w:rPr>
          <w:b/>
          <w:i w:val="0"/>
        </w:rPr>
        <w:t>Confidence: low</w:t>
      </w:r>
      <w:r>
        <w:rPr>
          <w:b w:val="0"/>
          <w:i w:val="0"/>
        </w:rPr>
        <w:t>, from two studies rated low (Li et al., 2024) and low (Bouke et al., 2023). Limitations: Li et al. (2024): conceptual / theoretical analysis: no new data were collected; Bouke et al. (2023): unclear from the abstract: no new data were collected.</w:t>
      </w:r>
    </w:p>
    <w:p>
      <w:r>
        <w:rPr>
          <w:b/>
          <w:i w:val="0"/>
          <w:highlight w:val="yellow"/>
        </w:rPr>
        <w:t>[YOUR DATA ANALYSIS]</w:t>
      </w:r>
      <w:r>
        <w:rPr>
          <w:b w:val="0"/>
          <w:i w:val="0"/>
        </w:rPr>
        <w:t xml:space="preserve"> Report what your data show on challenges associated: the result, its size (e.g. the statistic, effect size and confidence interval, or the theme with a supporting quotation) and whether it confirms, refines or contradicts Li et al., 2024; Bouke et al., 2023.</w:t>
      </w:r>
    </w:p>
    <w:p>
      <w:pPr>
        <w:pStyle w:val="Heading3"/>
      </w:pPr>
      <w:r>
        <w:t>2.2 Further findings</w:t>
      </w:r>
    </w:p>
    <w:p>
      <w:r>
        <w:rPr>
          <w:b w:val="0"/>
          <w:i w:val="0"/>
        </w:rPr>
        <w:t>These findings are reported by one study each, so they rest on single-study evidence.</w:t>
      </w:r>
    </w:p>
    <w:p>
      <w:pPr>
        <w:pStyle w:val="ListBullet"/>
      </w:pPr>
      <w:r>
        <w:rPr>
          <w:b/>
          <w:i w:val="0"/>
        </w:rPr>
        <w:t>Yang et al. (2025)</w:t>
      </w:r>
      <w:r>
        <w:rPr>
          <w:b w:val="0"/>
          <w:i w:val="0"/>
        </w:rPr>
        <w:t xml:space="preserve"> (conceptual / theoretical analysis; sample: size not stated; confidence: low): "The chapter concludes with directions for future research on resilience, cros-echelon planning, and the evolving role of AI in cyber warfare." (Yang et al., 2025)</w:t>
      </w:r>
    </w:p>
    <w:p>
      <w:pPr>
        <w:pStyle w:val="ListBullet"/>
      </w:pPr>
      <w:r>
        <w:rPr>
          <w:b/>
          <w:i w:val="0"/>
        </w:rPr>
        <w:t>Diggelen et al. (2025)</w:t>
      </w:r>
      <w:r>
        <w:rPr>
          <w:b w:val="0"/>
          <w:i w:val="0"/>
        </w:rPr>
        <w:t xml:space="preserve"> (conceptual / theoretical analysis; sample: size not stated; confidence: low): "Foreign information operations on social media platforms pose significant risks to democratic societies." (Diggelen et al., 2025)</w:t>
      </w:r>
    </w:p>
    <w:p>
      <w:pPr>
        <w:pStyle w:val="ListBullet"/>
      </w:pPr>
      <w:r>
        <w:rPr>
          <w:b/>
          <w:i w:val="0"/>
        </w:rPr>
        <w:t>Sánchez et al. (2025)</w:t>
      </w:r>
      <w:r>
        <w:rPr>
          <w:b w:val="0"/>
          <w:i w:val="0"/>
        </w:rPr>
        <w:t xml:space="preserve"> (computational experiment (benchmark evaluation); sample: size not stated; confidence: low): "This analysis yields new insights, providing actionable information to researchers, policy makers, and cybersecurity professionals." (Sánchez et al., 2025)</w:t>
      </w:r>
    </w:p>
    <w:p>
      <w:pPr>
        <w:pStyle w:val="ListBullet"/>
      </w:pPr>
      <w:r>
        <w:rPr>
          <w:b/>
          <w:i w:val="0"/>
        </w:rPr>
        <w:t>Yang et al. (2025)</w:t>
      </w:r>
      <w:r>
        <w:rPr>
          <w:b w:val="0"/>
          <w:i w:val="0"/>
        </w:rPr>
        <w:t xml:space="preserve"> (case study; sample: size not stated; governments and states; confidence: low): According to the Phase 1 summary: A case study demonstrates how the framework works and its effectiveness in improving the defender's strategic advantage (Yang et al., 2025).</w:t>
      </w:r>
    </w:p>
    <w:p>
      <w:pPr>
        <w:pStyle w:val="ListBullet"/>
      </w:pPr>
      <w:r>
        <w:rPr>
          <w:b/>
          <w:i w:val="0"/>
        </w:rPr>
        <w:t>Ahmed et al. (2024)</w:t>
      </w:r>
      <w:r>
        <w:rPr>
          <w:b w:val="0"/>
          <w:i w:val="0"/>
        </w:rPr>
        <w:t xml:space="preserve"> (systematic / scoping review; sample: 815 papers; confidence: medium): "In each of these areas, there is significant scope for quantum computing to be implemented and to revolutionize the working environment." (Ahmed et al., 2024)</w:t>
      </w:r>
    </w:p>
    <w:p>
      <w:pPr>
        <w:pStyle w:val="ListBullet"/>
      </w:pPr>
      <w:r>
        <w:rPr>
          <w:b/>
          <w:i w:val="0"/>
        </w:rPr>
        <w:t>Huang et al. (2024)</w:t>
      </w:r>
      <w:r>
        <w:rPr>
          <w:b w:val="0"/>
          <w:i w:val="0"/>
        </w:rPr>
        <w:t xml:space="preserve"> (systematic / scoping review; sample: 449 papers; confidence: medium): "This paper also highlights several limitations in existing research, wherein security models adopt simplistic approaches that do not adequately consider the dynamic, multi-layer, multi-path, and multi-agent characteristics of real-world cyber-physical attacks." (Huang et al., 2024)</w:t>
      </w:r>
    </w:p>
    <w:p>
      <w:pPr>
        <w:pStyle w:val="ListBullet"/>
      </w:pPr>
      <w:r>
        <w:rPr>
          <w:b/>
          <w:i w:val="0"/>
        </w:rPr>
        <w:t>Fernandes et al. (2024)</w:t>
      </w:r>
      <w:r>
        <w:rPr>
          <w:b w:val="0"/>
          <w:i w:val="0"/>
        </w:rPr>
        <w:t xml:space="preserve"> (simulation / modelling study; sample: size not stated; in India; confidence: low): "The literature review reveals significant shortcomings in India's cyber defence readiness, especially in real-time threat detection and response capabilities." (Fernandes et al., 2024)</w:t>
      </w:r>
    </w:p>
    <w:p>
      <w:pPr>
        <w:pStyle w:val="ListBullet"/>
      </w:pPr>
      <w:r>
        <w:rPr>
          <w:b/>
          <w:i w:val="0"/>
        </w:rPr>
        <w:t>Celeny et al. (2024)</w:t>
      </w:r>
      <w:r>
        <w:rPr>
          <w:b w:val="0"/>
          <w:i w:val="0"/>
        </w:rPr>
        <w:t xml:space="preserve"> (computational experiment (benchmark evaluation); sample: datasets (size not stated); confidence: medium): "Our approach outperforms dictionary methods, uses full disclosure and not devoted-only sections, and generates a cyber risk measure uncorrelated with other firms' characteristics." (Celeny et al., 2024)</w:t>
      </w:r>
    </w:p>
    <w:p>
      <w:pPr>
        <w:pStyle w:val="ListBullet"/>
      </w:pPr>
      <w:r>
        <w:rPr>
          <w:b/>
          <w:i w:val="0"/>
        </w:rPr>
        <w:t>Benkő et al. (2024)</w:t>
      </w:r>
      <w:r>
        <w:rPr>
          <w:b w:val="0"/>
          <w:i w:val="0"/>
        </w:rPr>
        <w:t xml:space="preserve"> (unclear from the abstract; sample: size not stated; confidence: low): "We believe that our results contribute to the fundamental understanding of real-world cyber-conflicts by characterizing the impact of alliances." (Benkő et al., 2024)</w:t>
      </w:r>
    </w:p>
    <w:p>
      <w:pPr>
        <w:pStyle w:val="ListBullet"/>
      </w:pPr>
      <w:r>
        <w:rPr>
          <w:b/>
          <w:i w:val="0"/>
        </w:rPr>
        <w:t>Lau et al. (2024)</w:t>
      </w:r>
      <w:r>
        <w:rPr>
          <w:b w:val="0"/>
          <w:i w:val="0"/>
        </w:rPr>
        <w:t xml:space="preserve"> (case study; sample: size not stated; confidence: low): "Effectiveness of the proposed Shapley mutual insurance design is validated via case studies." (Lau et al., 2024)</w:t>
      </w:r>
    </w:p>
    <w:p>
      <w:pPr>
        <w:pStyle w:val="ListBullet"/>
      </w:pPr>
      <w:r>
        <w:rPr>
          <w:b/>
          <w:i w:val="0"/>
        </w:rPr>
        <w:t>Ear et al. (2023)</w:t>
      </w:r>
      <w:r>
        <w:rPr>
          <w:b w:val="0"/>
          <w:i w:val="0"/>
        </w:rPr>
        <w:t xml:space="preserve"> (conceptual / theoretical analysis; sample: size not stated; confidence: low): "To answer this question, we propose an innovative framework to specify cyber range requirements, characterize cyber range architectures (based on our analysis of 45 cyber range architectures), and match cyber range architectures to cyber range requirements." (Ear et al., 2023)</w:t>
      </w:r>
    </w:p>
    <w:p>
      <w:pPr>
        <w:pStyle w:val="ListBullet"/>
      </w:pPr>
      <w:r>
        <w:rPr>
          <w:b/>
          <w:i w:val="0"/>
        </w:rPr>
        <w:t>Kiely et al. (2023)</w:t>
      </w:r>
      <w:r>
        <w:rPr>
          <w:b w:val="0"/>
          <w:i w:val="0"/>
        </w:rPr>
        <w:t xml:space="preserve"> (unclear from the abstract; sample: size not stated; confidence: low): "Of these classes, we found that the hierarchical DRL approach was the most capable of learning an effective cyber defensive strategy." (Kiely et al., 2023)</w:t>
      </w:r>
    </w:p>
    <w:p>
      <w:pPr>
        <w:pStyle w:val="ListBullet"/>
      </w:pPr>
      <w:r>
        <w:rPr>
          <w:b/>
          <w:i w:val="0"/>
        </w:rPr>
        <w:t>Li et al. (2023)</w:t>
      </w:r>
      <w:r>
        <w:rPr>
          <w:b w:val="0"/>
          <w:i w:val="0"/>
        </w:rPr>
        <w:t xml:space="preserve"> (simulation / modelling study; sample: size not stated; confidence: low): "We elaborate on their essential requirements and potential solution options, illustrated by some preliminary experimentations in a Cyber Gym for Intelligent Learning (CyGIL) testbed." (Li et al., 2023)</w:t>
      </w:r>
    </w:p>
    <w:p>
      <w:r>
        <w:rPr>
          <w:b/>
          <w:i w:val="0"/>
          <w:highlight w:val="yellow"/>
        </w:rPr>
        <w:t>[YOUR DATA ANALYSIS]</w:t>
      </w:r>
      <w:r>
        <w:rPr>
          <w:b w:val="0"/>
          <w:i w:val="0"/>
        </w:rPr>
        <w:t xml:space="preserve"> Report your own results on the questions these studies address, and say for each whether your data replicate it; single-study findings are the ones most in need of replication.</w:t>
      </w:r>
    </w:p>
    <w:p>
      <w:pPr>
        <w:pStyle w:val="Heading2"/>
      </w:pPr>
      <w:r>
        <w:t>3. Summary of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Study</w:t>
            </w:r>
          </w:p>
        </w:tc>
        <w:tc>
          <w:tcPr>
            <w:tcW w:type="dxa" w:w="1440"/>
          </w:tcPr>
          <w:p>
            <w:r>
              <w:rPr>
                <w:b/>
                <w:sz w:val="16"/>
              </w:rPr>
              <w:t>Paper title</w:t>
            </w:r>
          </w:p>
        </w:tc>
        <w:tc>
          <w:tcPr>
            <w:tcW w:type="dxa" w:w="1440"/>
          </w:tcPr>
          <w:p>
            <w:r>
              <w:rPr>
                <w:b/>
                <w:sz w:val="16"/>
              </w:rPr>
              <w:t>Key finding</w:t>
            </w:r>
          </w:p>
        </w:tc>
        <w:tc>
          <w:tcPr>
            <w:tcW w:type="dxa" w:w="1440"/>
          </w:tcPr>
          <w:p>
            <w:r>
              <w:rPr>
                <w:b/>
                <w:sz w:val="16"/>
              </w:rPr>
              <w:t>Sample</w:t>
            </w:r>
          </w:p>
        </w:tc>
        <w:tc>
          <w:tcPr>
            <w:tcW w:type="dxa" w:w="1440"/>
          </w:tcPr>
          <w:p>
            <w:r>
              <w:rPr>
                <w:b/>
                <w:sz w:val="16"/>
              </w:rPr>
              <w:t>Effect size / statistics</w:t>
            </w:r>
          </w:p>
        </w:tc>
        <w:tc>
          <w:tcPr>
            <w:tcW w:type="dxa" w:w="1440"/>
          </w:tcPr>
          <w:p>
            <w:r>
              <w:rPr>
                <w:b/>
                <w:sz w:val="16"/>
              </w:rPr>
              <w:t>Confidence</w:t>
            </w:r>
          </w:p>
        </w:tc>
      </w:tr>
      <w:tr>
        <w:tc>
          <w:tcPr>
            <w:tcW w:type="dxa" w:w="1440"/>
          </w:tcPr>
          <w:p>
            <w:r>
              <w:rPr>
                <w:b w:val="0"/>
                <w:sz w:val="16"/>
              </w:rPr>
              <w:t>Yang et al. (2025)</w:t>
            </w:r>
          </w:p>
        </w:tc>
        <w:tc>
          <w:tcPr>
            <w:tcW w:type="dxa" w:w="1440"/>
          </w:tcPr>
          <w:p>
            <w:r>
              <w:rPr>
                <w:b w:val="0"/>
                <w:sz w:val="16"/>
              </w:rPr>
              <w:t>Toward a Multi-Echelon Cyber Warfare Theory: A Meta-Game-Theoretic Paradigm for Defense and Dominance</w:t>
            </w:r>
          </w:p>
        </w:tc>
        <w:tc>
          <w:tcPr>
            <w:tcW w:type="dxa" w:w="1440"/>
          </w:tcPr>
          <w:p>
            <w:r>
              <w:rPr>
                <w:b w:val="0"/>
                <w:sz w:val="16"/>
              </w:rPr>
              <w:t>The chapter concludes with directions for future research on resilience, cros-echelon planning, and the evolving role of AI in cyber warfare.</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Diggelen et al. (2025)</w:t>
            </w:r>
          </w:p>
        </w:tc>
        <w:tc>
          <w:tcPr>
            <w:tcW w:type="dxa" w:w="1440"/>
          </w:tcPr>
          <w:p>
            <w:r>
              <w:rPr>
                <w:b w:val="0"/>
                <w:sz w:val="16"/>
              </w:rPr>
              <w:t>Designing AI-Enabled Countermeasures to Cognitive Warfare</w:t>
            </w:r>
          </w:p>
        </w:tc>
        <w:tc>
          <w:tcPr>
            <w:tcW w:type="dxa" w:w="1440"/>
          </w:tcPr>
          <w:p>
            <w:r>
              <w:rPr>
                <w:b w:val="0"/>
                <w:sz w:val="16"/>
              </w:rPr>
              <w:t>Foreign information operations on social media platforms pose significant risks to democratic societies.</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Sánchez et al. (2025)</w:t>
            </w:r>
          </w:p>
        </w:tc>
        <w:tc>
          <w:tcPr>
            <w:tcW w:type="dxa" w:w="1440"/>
          </w:tcPr>
          <w:p>
            <w:r>
              <w:rPr>
                <w:b w:val="0"/>
                <w:sz w:val="16"/>
              </w:rPr>
              <w:t>A Global Analysis of Cyber Threats to the Energy Sector: "Currents of Conflict" from a Geopolitical Perspective</w:t>
            </w:r>
          </w:p>
        </w:tc>
        <w:tc>
          <w:tcPr>
            <w:tcW w:type="dxa" w:w="1440"/>
          </w:tcPr>
          <w:p>
            <w:r>
              <w:rPr>
                <w:b w:val="0"/>
                <w:sz w:val="16"/>
              </w:rPr>
              <w:t>This analysis yields new insights, providing actionable information to researchers, policy makers, and cybersecurity professionals.</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Yang et al. (2025)</w:t>
            </w:r>
          </w:p>
        </w:tc>
        <w:tc>
          <w:tcPr>
            <w:tcW w:type="dxa" w:w="1440"/>
          </w:tcPr>
          <w:p>
            <w:r>
              <w:rPr>
                <w:b w:val="0"/>
                <w:sz w:val="16"/>
              </w:rPr>
              <w:t>A Multi-Resolution Dynamic Game Framework for Cross-Echelon Decision-Making in Cyber Warfare</w:t>
            </w:r>
          </w:p>
        </w:tc>
        <w:tc>
          <w:tcPr>
            <w:tcW w:type="dxa" w:w="1440"/>
          </w:tcPr>
          <w:p>
            <w:r>
              <w:rPr>
                <w:b w:val="0"/>
                <w:sz w:val="16"/>
              </w:rPr>
              <w:t>A case study demonstrates how the framework works and its effectiveness in improving the defender's strategic advantage.</w:t>
            </w:r>
          </w:p>
        </w:tc>
        <w:tc>
          <w:tcPr>
            <w:tcW w:type="dxa" w:w="1440"/>
          </w:tcPr>
          <w:p>
            <w:r>
              <w:rPr>
                <w:b w:val="0"/>
                <w:sz w:val="16"/>
              </w:rPr>
              <w:t>size not stated; governments and states</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Ahmed et al. (2024)</w:t>
            </w:r>
          </w:p>
        </w:tc>
        <w:tc>
          <w:tcPr>
            <w:tcW w:type="dxa" w:w="1440"/>
          </w:tcPr>
          <w:p>
            <w:r>
              <w:rPr>
                <w:b w:val="0"/>
                <w:sz w:val="16"/>
              </w:rPr>
              <w:t>Cyber Protection Applications of Quantum Computing: A Review</w:t>
            </w:r>
          </w:p>
        </w:tc>
        <w:tc>
          <w:tcPr>
            <w:tcW w:type="dxa" w:w="1440"/>
          </w:tcPr>
          <w:p>
            <w:r>
              <w:rPr>
                <w:b w:val="0"/>
                <w:sz w:val="16"/>
              </w:rPr>
              <w:t>In each of these areas, there is significant scope for quantum computing to be implemented and to revolutionize the working environment.</w:t>
            </w:r>
          </w:p>
        </w:tc>
        <w:tc>
          <w:tcPr>
            <w:tcW w:type="dxa" w:w="1440"/>
          </w:tcPr>
          <w:p>
            <w:r>
              <w:rPr>
                <w:b w:val="0"/>
                <w:sz w:val="16"/>
              </w:rPr>
              <w:t>815 papers</w:t>
            </w:r>
          </w:p>
        </w:tc>
        <w:tc>
          <w:tcPr>
            <w:tcW w:type="dxa" w:w="1440"/>
          </w:tcPr>
          <w:p>
            <w:r>
              <w:rPr>
                <w:b w:val="0"/>
                <w:sz w:val="16"/>
              </w:rPr>
              <w:t>Not reported</w:t>
            </w:r>
          </w:p>
        </w:tc>
        <w:tc>
          <w:tcPr>
            <w:tcW w:type="dxa" w:w="1440"/>
          </w:tcPr>
          <w:p>
            <w:r>
              <w:rPr>
                <w:b w:val="0"/>
                <w:sz w:val="16"/>
              </w:rPr>
              <w:t>Medium</w:t>
            </w:r>
          </w:p>
        </w:tc>
      </w:tr>
      <w:tr>
        <w:tc>
          <w:tcPr>
            <w:tcW w:type="dxa" w:w="1440"/>
          </w:tcPr>
          <w:p>
            <w:r>
              <w:rPr>
                <w:b w:val="0"/>
                <w:sz w:val="16"/>
              </w:rPr>
              <w:t>Huang et al. (2024)</w:t>
            </w:r>
          </w:p>
        </w:tc>
        <w:tc>
          <w:tcPr>
            <w:tcW w:type="dxa" w:w="1440"/>
          </w:tcPr>
          <w:p>
            <w:r>
              <w:rPr>
                <w:b w:val="0"/>
                <w:sz w:val="16"/>
              </w:rPr>
              <w:t>Security Modelling for Cyber-Physical Systems: A Systematic Literature Review</w:t>
            </w:r>
          </w:p>
        </w:tc>
        <w:tc>
          <w:tcPr>
            <w:tcW w:type="dxa" w:w="1440"/>
          </w:tcPr>
          <w:p>
            <w:r>
              <w:rPr>
                <w:b w:val="0"/>
                <w:sz w:val="16"/>
              </w:rPr>
              <w:t>This paper also highlights several limitations in existing research, wherein security models adopt simplistic approaches that do not adequately consider the dynamic, multi-layer, multi-path, and multi-agent characteristics of real-world cyber-physical ...</w:t>
            </w:r>
          </w:p>
        </w:tc>
        <w:tc>
          <w:tcPr>
            <w:tcW w:type="dxa" w:w="1440"/>
          </w:tcPr>
          <w:p>
            <w:r>
              <w:rPr>
                <w:b w:val="0"/>
                <w:sz w:val="16"/>
              </w:rPr>
              <w:t>449 papers</w:t>
            </w:r>
          </w:p>
        </w:tc>
        <w:tc>
          <w:tcPr>
            <w:tcW w:type="dxa" w:w="1440"/>
          </w:tcPr>
          <w:p>
            <w:r>
              <w:rPr>
                <w:b w:val="0"/>
                <w:sz w:val="16"/>
              </w:rPr>
              <w:t>Not reported</w:t>
            </w:r>
          </w:p>
        </w:tc>
        <w:tc>
          <w:tcPr>
            <w:tcW w:type="dxa" w:w="1440"/>
          </w:tcPr>
          <w:p>
            <w:r>
              <w:rPr>
                <w:b w:val="0"/>
                <w:sz w:val="16"/>
              </w:rPr>
              <w:t>Medium</w:t>
            </w:r>
          </w:p>
        </w:tc>
      </w:tr>
      <w:tr>
        <w:tc>
          <w:tcPr>
            <w:tcW w:type="dxa" w:w="1440"/>
          </w:tcPr>
          <w:p>
            <w:r>
              <w:rPr>
                <w:b w:val="0"/>
                <w:sz w:val="16"/>
              </w:rPr>
              <w:t>Li et al. (2024)</w:t>
            </w:r>
          </w:p>
        </w:tc>
        <w:tc>
          <w:tcPr>
            <w:tcW w:type="dxa" w:w="1440"/>
          </w:tcPr>
          <w:p>
            <w:r>
              <w:rPr>
                <w:b w:val="0"/>
                <w:sz w:val="16"/>
              </w:rPr>
              <w:t>Symbiotic Game and Foundation Models for Cyber Deception Operations in Strategic Cyber Warfare</w:t>
            </w:r>
          </w:p>
        </w:tc>
        <w:tc>
          <w:tcPr>
            <w:tcW w:type="dxa" w:w="1440"/>
          </w:tcPr>
          <w:p>
            <w:r>
              <w:rPr>
                <w:b w:val="0"/>
                <w:sz w:val="16"/>
              </w:rPr>
              <w:t>This chapter concludes with a discussion of the challenges associated with FMs and their application in the domain of cybersecurity.</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Fernandes et al. (2024)</w:t>
            </w:r>
          </w:p>
        </w:tc>
        <w:tc>
          <w:tcPr>
            <w:tcW w:type="dxa" w:w="1440"/>
          </w:tcPr>
          <w:p>
            <w:r>
              <w:rPr>
                <w:b w:val="0"/>
                <w:sz w:val="16"/>
              </w:rPr>
              <w:t>Analysing India's Cyber Warfare Readiness and Developing a Defence Strategy</w:t>
            </w:r>
          </w:p>
        </w:tc>
        <w:tc>
          <w:tcPr>
            <w:tcW w:type="dxa" w:w="1440"/>
          </w:tcPr>
          <w:p>
            <w:r>
              <w:rPr>
                <w:b w:val="0"/>
                <w:sz w:val="16"/>
              </w:rPr>
              <w:t>The literature review reveals significant shortcomings in India's cyber defence readiness, especially in real-time threat detection and response capabilities.</w:t>
            </w:r>
          </w:p>
        </w:tc>
        <w:tc>
          <w:tcPr>
            <w:tcW w:type="dxa" w:w="1440"/>
          </w:tcPr>
          <w:p>
            <w:r>
              <w:rPr>
                <w:b w:val="0"/>
                <w:sz w:val="16"/>
              </w:rPr>
              <w:t>size not stated; in India</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Celeny et al. (2024)</w:t>
            </w:r>
          </w:p>
        </w:tc>
        <w:tc>
          <w:tcPr>
            <w:tcW w:type="dxa" w:w="1440"/>
          </w:tcPr>
          <w:p>
            <w:r>
              <w:rPr>
                <w:b w:val="0"/>
                <w:sz w:val="16"/>
              </w:rPr>
              <w:t>Cyber risk and the cross-section of stock returns</w:t>
            </w:r>
          </w:p>
        </w:tc>
        <w:tc>
          <w:tcPr>
            <w:tcW w:type="dxa" w:w="1440"/>
          </w:tcPr>
          <w:p>
            <w:r>
              <w:rPr>
                <w:b w:val="0"/>
                <w:sz w:val="16"/>
              </w:rPr>
              <w:t>Our approach outperforms dictionary methods, uses full disclosure and not devoted-only sections, and generates a cyber risk measure uncorrelated with other firms' characteristics.</w:t>
            </w:r>
          </w:p>
        </w:tc>
        <w:tc>
          <w:tcPr>
            <w:tcW w:type="dxa" w:w="1440"/>
          </w:tcPr>
          <w:p>
            <w:r>
              <w:rPr>
                <w:b w:val="0"/>
                <w:sz w:val="16"/>
              </w:rPr>
              <w:t>datasets (size not stated)</w:t>
            </w:r>
          </w:p>
        </w:tc>
        <w:tc>
          <w:tcPr>
            <w:tcW w:type="dxa" w:w="1440"/>
          </w:tcPr>
          <w:p>
            <w:r>
              <w:rPr>
                <w:b w:val="0"/>
                <w:sz w:val="16"/>
              </w:rPr>
              <w:t>Not reported</w:t>
            </w:r>
          </w:p>
        </w:tc>
        <w:tc>
          <w:tcPr>
            <w:tcW w:type="dxa" w:w="1440"/>
          </w:tcPr>
          <w:p>
            <w:r>
              <w:rPr>
                <w:b w:val="0"/>
                <w:sz w:val="16"/>
              </w:rPr>
              <w:t>Medium</w:t>
            </w:r>
          </w:p>
        </w:tc>
      </w:tr>
      <w:tr>
        <w:tc>
          <w:tcPr>
            <w:tcW w:type="dxa" w:w="1440"/>
          </w:tcPr>
          <w:p>
            <w:r>
              <w:rPr>
                <w:b w:val="0"/>
                <w:sz w:val="16"/>
              </w:rPr>
              <w:t>Benkő et al. (2024)</w:t>
            </w:r>
          </w:p>
        </w:tc>
        <w:tc>
          <w:tcPr>
            <w:tcW w:type="dxa" w:w="1440"/>
          </w:tcPr>
          <w:p>
            <w:r>
              <w:rPr>
                <w:b w:val="0"/>
                <w:sz w:val="16"/>
              </w:rPr>
              <w:t>The Cyber Alliance Game: How Alliances Influence Cyber-Warfare</w:t>
            </w:r>
          </w:p>
        </w:tc>
        <w:tc>
          <w:tcPr>
            <w:tcW w:type="dxa" w:w="1440"/>
          </w:tcPr>
          <w:p>
            <w:r>
              <w:rPr>
                <w:b w:val="0"/>
                <w:sz w:val="16"/>
              </w:rPr>
              <w:t>We believe that our results contribute to the fundamental understanding of real-world cyber-conflicts by characterizing the impact of alliances.</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Lau et al. (2024)</w:t>
            </w:r>
          </w:p>
        </w:tc>
        <w:tc>
          <w:tcPr>
            <w:tcW w:type="dxa" w:w="1440"/>
          </w:tcPr>
          <w:p>
            <w:r>
              <w:rPr>
                <w:b w:val="0"/>
                <w:sz w:val="16"/>
              </w:rPr>
              <w:t>A Novel Mutual Insurance Model for Hedging Against Cyber Risks in Power Systems Deploying Smart Technologies</w:t>
            </w:r>
          </w:p>
        </w:tc>
        <w:tc>
          <w:tcPr>
            <w:tcW w:type="dxa" w:w="1440"/>
          </w:tcPr>
          <w:p>
            <w:r>
              <w:rPr>
                <w:b w:val="0"/>
                <w:sz w:val="16"/>
              </w:rPr>
              <w:t>Effectiveness of the proposed Shapley mutual insurance design is validated via case studies.</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Ear et al. (2023)</w:t>
            </w:r>
          </w:p>
        </w:tc>
        <w:tc>
          <w:tcPr>
            <w:tcW w:type="dxa" w:w="1440"/>
          </w:tcPr>
          <w:p>
            <w:r>
              <w:rPr>
                <w:b w:val="0"/>
                <w:sz w:val="16"/>
              </w:rPr>
              <w:t>Towards Automated Cyber Range Design: Characterizing and Matching Demands to Supplies</w:t>
            </w:r>
          </w:p>
        </w:tc>
        <w:tc>
          <w:tcPr>
            <w:tcW w:type="dxa" w:w="1440"/>
          </w:tcPr>
          <w:p>
            <w:r>
              <w:rPr>
                <w:b w:val="0"/>
                <w:sz w:val="16"/>
              </w:rPr>
              <w:t>To answer this question, we propose an innovative framework to specify cyber range requirements, characterize cyber range architectures (based on our analysis of 45 cyber range architectures), and match cyber ...</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Bouke et al. (2023)</w:t>
            </w:r>
          </w:p>
        </w:tc>
        <w:tc>
          <w:tcPr>
            <w:tcW w:type="dxa" w:w="1440"/>
          </w:tcPr>
          <w:p>
            <w:r>
              <w:rPr>
                <w:b w:val="0"/>
                <w:sz w:val="16"/>
              </w:rPr>
              <w:t>Turnkey Technology: A Powerful Tool for Cyber Warfare</w:t>
            </w:r>
          </w:p>
        </w:tc>
        <w:tc>
          <w:tcPr>
            <w:tcW w:type="dxa" w:w="1440"/>
          </w:tcPr>
          <w:p>
            <w:r>
              <w:rPr>
                <w:b w:val="0"/>
                <w:sz w:val="16"/>
              </w:rPr>
              <w:t>However, turnkey technology also introduces significant risks, such as the proliferation of cyber weapons, ethical considerations, potential collateral damage, escalation of conflicts, and legal ramifications.</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Kiely et al. (2023)</w:t>
            </w:r>
          </w:p>
        </w:tc>
        <w:tc>
          <w:tcPr>
            <w:tcW w:type="dxa" w:w="1440"/>
          </w:tcPr>
          <w:p>
            <w:r>
              <w:rPr>
                <w:b w:val="0"/>
                <w:sz w:val="16"/>
              </w:rPr>
              <w:t>On Autonomous Agents in a Cyber Defence Environment</w:t>
            </w:r>
          </w:p>
        </w:tc>
        <w:tc>
          <w:tcPr>
            <w:tcW w:type="dxa" w:w="1440"/>
          </w:tcPr>
          <w:p>
            <w:r>
              <w:rPr>
                <w:b w:val="0"/>
                <w:sz w:val="16"/>
              </w:rPr>
              <w:t>Of these classes, we found that the hierarchical DRL approach was the most capable of learning an effective cyber defensive strategy.</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Li et al. (2023)</w:t>
            </w:r>
          </w:p>
        </w:tc>
        <w:tc>
          <w:tcPr>
            <w:tcW w:type="dxa" w:w="1440"/>
          </w:tcPr>
          <w:p>
            <w:r>
              <w:rPr>
                <w:b w:val="0"/>
                <w:sz w:val="16"/>
              </w:rPr>
              <w:t>Towards Autonomous Cyber Operation Agents: Exploring the Red Case</w:t>
            </w:r>
          </w:p>
        </w:tc>
        <w:tc>
          <w:tcPr>
            <w:tcW w:type="dxa" w:w="1440"/>
          </w:tcPr>
          <w:p>
            <w:r>
              <w:rPr>
                <w:b w:val="0"/>
                <w:sz w:val="16"/>
              </w:rPr>
              <w:t>We elaborate on their essential requirements and potential solution options, illustrated by some preliminary experimentations in a Cyber Gym for Intelligent Learning (CyGIL) testbed.</w:t>
            </w:r>
          </w:p>
        </w:tc>
        <w:tc>
          <w:tcPr>
            <w:tcW w:type="dxa" w:w="1440"/>
          </w:tcPr>
          <w:p>
            <w:r>
              <w:rPr>
                <w:b w:val="0"/>
                <w:sz w:val="16"/>
              </w:rPr>
              <w:t>size not stated</w:t>
            </w:r>
          </w:p>
        </w:tc>
        <w:tc>
          <w:tcPr>
            <w:tcW w:type="dxa" w:w="1440"/>
          </w:tcPr>
          <w:p>
            <w:r>
              <w:rPr>
                <w:b w:val="0"/>
                <w:sz w:val="16"/>
              </w:rPr>
              <w:t>Not reported</w:t>
            </w:r>
          </w:p>
        </w:tc>
        <w:tc>
          <w:tcPr>
            <w:tcW w:type="dxa" w:w="1440"/>
          </w:tcPr>
          <w:p>
            <w:r>
              <w:rPr>
                <w:b w:val="0"/>
                <w:sz w:val="16"/>
              </w:rPr>
              <w:t>Low</w:t>
            </w:r>
          </w:p>
        </w:tc>
      </w:tr>
      <w:tr>
        <w:tc>
          <w:tcPr>
            <w:tcW w:type="dxa" w:w="1440"/>
          </w:tcPr>
          <w:p>
            <w:r>
              <w:rPr>
                <w:b w:val="0"/>
                <w:sz w:val="16"/>
              </w:rPr>
              <w:t>Your study</w:t>
            </w:r>
          </w:p>
        </w:tc>
        <w:tc>
          <w:tcPr>
            <w:tcW w:type="dxa" w:w="1440"/>
          </w:tcPr>
          <w:p>
            <w:r>
              <w:rPr>
                <w:b w:val="0"/>
                <w:sz w:val="16"/>
              </w:rPr>
              <w:t>[YOUR DATA ANALYSIS]</w:t>
            </w:r>
          </w:p>
        </w:tc>
        <w:tc>
          <w:tcPr>
            <w:tcW w:type="dxa" w:w="1440"/>
          </w:tcPr>
          <w:p>
            <w:r>
              <w:rPr>
                <w:b w:val="0"/>
                <w:sz w:val="16"/>
              </w:rPr>
              <w:t>Your main finding</w:t>
            </w:r>
          </w:p>
        </w:tc>
        <w:tc>
          <w:tcPr>
            <w:tcW w:type="dxa" w:w="1440"/>
          </w:tcPr>
          <w:p>
            <w:r>
              <w:rPr>
                <w:b w:val="0"/>
                <w:sz w:val="16"/>
              </w:rPr>
              <w:t>Your sample</w:t>
            </w:r>
          </w:p>
        </w:tc>
        <w:tc>
          <w:tcPr>
            <w:tcW w:type="dxa" w:w="1440"/>
          </w:tcPr>
          <w:p>
            <w:r>
              <w:rPr>
                <w:b w:val="0"/>
                <w:sz w:val="16"/>
              </w:rPr>
              <w:t>Your effect size</w:t>
            </w:r>
          </w:p>
        </w:tc>
        <w:tc>
          <w:tcPr>
            <w:tcW w:type="dxa" w:w="1440"/>
          </w:tcPr>
          <w:p>
            <w:r>
              <w:rPr>
                <w:b w:val="0"/>
                <w:sz w:val="16"/>
              </w:rPr>
              <w:t>—</w:t>
            </w:r>
          </w:p>
        </w:tc>
      </w:tr>
    </w:tbl>
    <w:p/>
    <w:p>
      <w:r>
        <w:rPr>
          <w:b w:val="0"/>
          <w:i/>
        </w:rPr>
        <w:t>Confidence: high = empirical, with a stated sample or dataset and reported statistics; medium = one of the two, or a systematic synthesis; low = neither, or no new data. It rates what the abstract reports, not the full study.</w:t>
      </w:r>
    </w:p>
    <w:p>
      <w:pPr>
        <w:pStyle w:val="Heading2"/>
      </w:pPr>
      <w:r>
        <w:t>4. Performance Metrics and Technical Results</w:t>
      </w:r>
    </w:p>
    <w:p>
      <w:r>
        <w:rPr>
          <w:b w:val="0"/>
          <w:i w:val="0"/>
        </w:rPr>
        <w:t>In engineering and computing, results are reported as performance metrics against baselines on named datasets or test settings, ideally with the variation across repeated runs.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Study</w:t>
            </w:r>
          </w:p>
        </w:tc>
        <w:tc>
          <w:tcPr>
            <w:tcW w:type="dxa" w:w="2160"/>
          </w:tcPr>
          <w:p>
            <w:r>
              <w:rPr>
                <w:b/>
                <w:sz w:val="16"/>
              </w:rPr>
              <w:t>Measure</w:t>
            </w:r>
          </w:p>
        </w:tc>
        <w:tc>
          <w:tcPr>
            <w:tcW w:type="dxa" w:w="2160"/>
          </w:tcPr>
          <w:p>
            <w:r>
              <w:rPr>
                <w:b/>
                <w:sz w:val="16"/>
              </w:rPr>
              <w:t>Reported value</w:t>
            </w:r>
          </w:p>
        </w:tc>
        <w:tc>
          <w:tcPr>
            <w:tcW w:type="dxa" w:w="2160"/>
          </w:tcPr>
          <w:p>
            <w:r>
              <w:rPr>
                <w:b/>
                <w:sz w:val="16"/>
              </w:rPr>
              <w:t>Context</w:t>
            </w:r>
          </w:p>
        </w:tc>
      </w:tr>
      <w:tr>
        <w:tc>
          <w:tcPr>
            <w:tcW w:type="dxa" w:w="2160"/>
          </w:tcPr>
          <w:p>
            <w:r>
              <w:rPr>
                <w:b w:val="0"/>
                <w:sz w:val="16"/>
              </w:rPr>
              <w:t>Celeny et al. (2024)</w:t>
            </w:r>
          </w:p>
        </w:tc>
        <w:tc>
          <w:tcPr>
            <w:tcW w:type="dxa" w:w="2160"/>
          </w:tcPr>
          <w:p>
            <w:r>
              <w:rPr>
                <w:b w:val="0"/>
                <w:sz w:val="16"/>
              </w:rPr>
              <w:t>Percentage</w:t>
            </w:r>
          </w:p>
        </w:tc>
        <w:tc>
          <w:tcPr>
            <w:tcW w:type="dxa" w:w="2160"/>
          </w:tcPr>
          <w:p>
            <w:r>
              <w:rPr>
                <w:b w:val="0"/>
                <w:sz w:val="16"/>
              </w:rPr>
              <w:t>18.72%</w:t>
            </w:r>
          </w:p>
        </w:tc>
        <w:tc>
          <w:tcPr>
            <w:tcW w:type="dxa" w:w="2160"/>
          </w:tcPr>
          <w:p>
            <w:r>
              <w:rPr>
                <w:b w:val="0"/>
                <w:sz w:val="16"/>
              </w:rPr>
              <w:t>We find that a portfolio of US-listed stocks in the high cyber risk quantile generates an excess return of 18.72% p.a.</w:t>
            </w:r>
          </w:p>
        </w:tc>
      </w:tr>
      <w:tr>
        <w:tc>
          <w:tcPr>
            <w:tcW w:type="dxa" w:w="2160"/>
          </w:tcPr>
          <w:p>
            <w:r>
              <w:rPr>
                <w:b w:val="0"/>
                <w:sz w:val="16"/>
              </w:rPr>
              <w:t>Celeny et al. (2024)</w:t>
            </w:r>
          </w:p>
        </w:tc>
        <w:tc>
          <w:tcPr>
            <w:tcW w:type="dxa" w:w="2160"/>
          </w:tcPr>
          <w:p>
            <w:r>
              <w:rPr>
                <w:b w:val="0"/>
                <w:sz w:val="16"/>
              </w:rPr>
              <w:t>Percentage</w:t>
            </w:r>
          </w:p>
        </w:tc>
        <w:tc>
          <w:tcPr>
            <w:tcW w:type="dxa" w:w="2160"/>
          </w:tcPr>
          <w:p>
            <w:r>
              <w:rPr>
                <w:b w:val="0"/>
                <w:sz w:val="16"/>
              </w:rPr>
              <w:t>6.93%</w:t>
            </w:r>
          </w:p>
        </w:tc>
        <w:tc>
          <w:tcPr>
            <w:tcW w:type="dxa" w:w="2160"/>
          </w:tcPr>
          <w:p>
            <w:r>
              <w:rPr>
                <w:b w:val="0"/>
                <w:sz w:val="16"/>
              </w:rPr>
              <w:t>Moreover, a long-short cyber risk portfolio has a significant and positive risk premium of 6.93% p.a., robust to all factors' benchmarks.</w:t>
            </w:r>
          </w:p>
        </w:tc>
      </w:tr>
    </w:tbl>
    <w:p/>
    <w:p>
      <w:r>
        <w:rPr>
          <w:b/>
          <w:i w:val="0"/>
        </w:rPr>
        <w:t>Technical results.</w:t>
      </w:r>
    </w:p>
    <w:p>
      <w:pPr>
        <w:pStyle w:val="ListBullet"/>
      </w:pPr>
      <w:r>
        <w:rPr>
          <w:b w:val="0"/>
          <w:i w:val="0"/>
        </w:rPr>
        <w:t>Celeny et al. (2024): "Our approach outperforms dictionary methods, uses full disclosure and not devoted-only sections, and generates a cyber risk measure uncorrelated with other firms' characteristics."</w:t>
      </w:r>
    </w:p>
    <w:p>
      <w:r>
        <w:rPr>
          <w:b w:val="0"/>
          <w:i w:val="0"/>
        </w:rPr>
        <w:t>None of the abstracts reports a performance figure (accuracy, F1, error rate, speed-up), so the methods' gains can't be compared from them; take the figures from the full texts' result tables. No variation across runs or significance tests are reported.</w:t>
      </w:r>
    </w:p>
    <w:p>
      <w:pPr>
        <w:pStyle w:val="Heading2"/>
      </w:pPr>
      <w:r>
        <w:t>5. Synthesis and Integration</w:t>
      </w:r>
    </w:p>
    <w:p>
      <w:pPr>
        <w:pStyle w:val="Heading3"/>
      </w:pPr>
      <w:r>
        <w:t>Consensus findings</w:t>
      </w:r>
    </w:p>
    <w:p>
      <w:pPr>
        <w:pStyle w:val="ListBullet"/>
      </w:pPr>
      <w:r>
        <w:rPr>
          <w:b/>
          <w:i w:val="0"/>
        </w:rPr>
        <w:t>Challenges associated</w:t>
      </w:r>
      <w:r>
        <w:rPr>
          <w:b w:val="0"/>
          <w:i w:val="0"/>
        </w:rPr>
        <w:t xml:space="preserve"> (Li et al., 2024; Bouke et al., 2023; confidence: low)</w:t>
      </w:r>
    </w:p>
    <w:p>
      <w:pPr>
        <w:pStyle w:val="Heading3"/>
      </w:pPr>
      <w:r>
        <w:t>Mixed and contradictory findings</w:t>
      </w:r>
    </w:p>
    <w:p>
      <w:pPr>
        <w:pStyle w:val="ListBullet"/>
      </w:pPr>
      <w:r>
        <w:rPr>
          <w:b w:val="0"/>
          <w:i w:val="0"/>
        </w:rPr>
        <w:t>None identified from the wording of the findings.</w:t>
      </w:r>
    </w:p>
    <w:p>
      <w:pPr>
        <w:pStyle w:val="Heading3"/>
      </w:pPr>
      <w:r>
        <w:t>Gaps in the evidence</w:t>
      </w:r>
    </w:p>
    <w:p>
      <w:pPr>
        <w:pStyle w:val="ListBullet"/>
      </w:pPr>
      <w:r>
        <w:rPr>
          <w:b w:val="0"/>
          <w:i w:val="0"/>
        </w:rPr>
        <w:t>Sample sizes are not stated by Sánchez et al. (2025), Yang et al. (2025), Fernandes et al. (2024), Lau et al. (2024) and Li et al. (2023).</w:t>
      </w:r>
    </w:p>
    <w:p>
      <w:pPr>
        <w:pStyle w:val="ListBullet"/>
      </w:pPr>
      <w:r>
        <w:rPr>
          <w:b w:val="0"/>
          <w:i w:val="0"/>
        </w:rPr>
        <w:t>No effect sizes or statistics are reported by Sánchez et al. (2025), Yang et al. (2025), Fernandes et al. (2024), Celeny et al. (2024), Lau et al. (2024) and Li et al. (2023), so the size of their effects is unknown.</w:t>
      </w:r>
    </w:p>
    <w:p>
      <w:pPr>
        <w:pStyle w:val="ListBullet"/>
      </w:pPr>
      <w:r>
        <w:rPr>
          <w:b w:val="0"/>
          <w:i w:val="0"/>
        </w:rPr>
        <w:t>Nine studies (Yang et al., 2025; Diggelen et al., 2025; Ahmed et al., 2024; Huang et al., 2024; Li et al., 2024; Benkő et al., 2024; Ear et al., 2023; Bouke et al., 2023; Kiely et al., 2023) collected no new data; their results are arguments or syntheses.</w:t>
      </w:r>
    </w:p>
    <w:p>
      <w:pPr>
        <w:pStyle w:val="ListBullet"/>
      </w:pPr>
      <w:r>
        <w:rPr>
          <w:b w:val="0"/>
          <w:i w:val="0"/>
        </w:rPr>
        <w:t>The evidence comes from few settings (India); results may not transfer elsewhere.</w:t>
      </w:r>
    </w:p>
    <w:p>
      <w:pPr>
        <w:pStyle w:val="ListBullet"/>
      </w:pPr>
      <w:r>
        <w:rPr>
          <w:b w:val="0"/>
          <w:i w:val="0"/>
        </w:rPr>
        <w:t>Yang et al. (2025), according to Phase 1: The proposed framework has not been validated empirically.</w:t>
      </w:r>
    </w:p>
    <w:p>
      <w:pPr>
        <w:pStyle w:val="ListBullet"/>
      </w:pPr>
      <w:r>
        <w:rPr>
          <w:b w:val="0"/>
          <w:i w:val="0"/>
        </w:rPr>
        <w:t>Diggelen et al. (2025), according to Phase 1: Its argument is not tested against empirical data.</w:t>
      </w:r>
    </w:p>
    <w:p>
      <w:pPr>
        <w:pStyle w:val="ListBullet"/>
      </w:pPr>
      <w:r>
        <w:rPr>
          <w:b w:val="0"/>
          <w:i w:val="0"/>
        </w:rPr>
        <w:t>Sánchez et al. (2025), according to Phase 1: Findings are tied to the specific data and setting studied; transfer to other contexts is untested.</w:t>
      </w:r>
    </w:p>
    <w:p>
      <w:pPr>
        <w:pStyle w:val="ListBullet"/>
      </w:pPr>
      <w:r>
        <w:rPr>
          <w:b w:val="0"/>
          <w:i w:val="0"/>
        </w:rPr>
        <w:t>Yang et al. (2025), according to Phase 1: Modeling these interactions at different echelons remains challenging due to the dynamic, large-scale, and interdependent nature of cyber environments.</w:t>
      </w:r>
    </w:p>
    <w:p>
      <w:pPr>
        <w:pStyle w:val="ListBullet"/>
      </w:pPr>
      <w:r>
        <w:rPr>
          <w:b w:val="0"/>
          <w:i w:val="0"/>
        </w:rPr>
        <w:t>Ahmed et al. (2024), according to Phase 1: Existing cyber protection applications are working well, but there are still challenges and vulnerabilities in computer networks.</w:t>
      </w:r>
    </w:p>
    <w:p>
      <w:pPr>
        <w:pStyle w:val="ListBullet"/>
      </w:pPr>
      <w:r>
        <w:rPr>
          <w:b w:val="0"/>
          <w:i w:val="0"/>
        </w:rPr>
        <w:t>Huang et al. (2024), according to Phase 1: Synthesizes earlier work without contributing new evidence of its own.</w:t>
      </w:r>
    </w:p>
    <w:p>
      <w:pPr>
        <w:pStyle w:val="ListBullet"/>
      </w:pPr>
      <w:r>
        <w:rPr>
          <w:b w:val="0"/>
          <w:i w:val="0"/>
        </w:rPr>
        <w:t>Li et al. (2024), according to Phase 1: This chapter concludes with a discussion of the challenges associated with FMs and their application in the domain of cybersecurity.</w:t>
      </w:r>
    </w:p>
    <w:p>
      <w:pPr>
        <w:pStyle w:val="ListBullet"/>
      </w:pPr>
      <w:r>
        <w:rPr>
          <w:b w:val="0"/>
          <w:i w:val="0"/>
        </w:rPr>
        <w:t>Fernandes et al. (2024), according to Phase 1: Synthesizes earlier work without contributing new evidence of its own.</w:t>
      </w:r>
    </w:p>
    <w:p>
      <w:pPr>
        <w:pStyle w:val="ListBullet"/>
      </w:pPr>
      <w:r>
        <w:rPr>
          <w:b w:val="0"/>
          <w:i w:val="0"/>
        </w:rPr>
        <w:t>Celeny et al. (2024), according to Phase 1: Findings are tied to the specific data and setting studied; transfer to other contexts is untested.</w:t>
      </w:r>
    </w:p>
    <w:p>
      <w:pPr>
        <w:pStyle w:val="ListBullet"/>
      </w:pPr>
      <w:r>
        <w:rPr>
          <w:b w:val="0"/>
          <w:i w:val="0"/>
        </w:rPr>
        <w:t>Benkő et al. (2024), according to Phase 1: Its argument is not tested against empirical data.</w:t>
      </w:r>
    </w:p>
    <w:p>
      <w:pPr>
        <w:pStyle w:val="ListBullet"/>
      </w:pPr>
      <w:r>
        <w:rPr>
          <w:b w:val="0"/>
          <w:i w:val="0"/>
        </w:rPr>
        <w:t>Lau et al. (2024), according to Phase 1: The paper leaves unaddressed the question on how to ensure a fair distribution of indemnities, which is crucial for power system owners.</w:t>
      </w:r>
    </w:p>
    <w:p>
      <w:pPr>
        <w:pStyle w:val="ListBullet"/>
      </w:pPr>
      <w:r>
        <w:rPr>
          <w:b w:val="0"/>
          <w:i w:val="0"/>
        </w:rPr>
        <w:t>Ear et al. (2023), according to Phase 1: The proposed framework has not been validated empirically.</w:t>
      </w:r>
    </w:p>
    <w:p>
      <w:pPr>
        <w:pStyle w:val="ListBullet"/>
      </w:pPr>
      <w:r>
        <w:rPr>
          <w:b w:val="0"/>
          <w:i w:val="0"/>
        </w:rPr>
        <w:t>Bouke et al. (2023), according to Phase 1: This paper provides a unique perspective on the implications of turnkey technology in cyber warfare, highlighting its advantages, risks, and challenges, as well as the potential strategies for mitigating these concerns.</w:t>
      </w:r>
    </w:p>
    <w:p>
      <w:pPr>
        <w:pStyle w:val="ListBullet"/>
      </w:pPr>
      <w:r>
        <w:rPr>
          <w:b w:val="0"/>
          <w:i w:val="0"/>
        </w:rPr>
        <w:t>Kiely et al. (2023), according to Phase 1: CAGE Challenge 2 required a defensive Blue agent to defend a network from an attacking Red agent.</w:t>
      </w:r>
    </w:p>
    <w:p>
      <w:pPr>
        <w:pStyle w:val="ListBullet"/>
      </w:pPr>
      <w:r>
        <w:rPr>
          <w:b w:val="0"/>
          <w:i w:val="0"/>
        </w:rPr>
        <w:t>Li et al. (2023), according to Phase 1: Findings are tied to the specific data and setting studied; transfer to other contexts is untested.</w:t>
      </w:r>
    </w:p>
    <w:p>
      <w:r>
        <w:rPr>
          <w:b w:val="0"/>
          <w:i/>
        </w:rPr>
        <w:t>Consistency is read from the wording of each finding (e.g. "improves" vs "limited"), so check every judgement against the papers before relying on it.</w:t>
      </w:r>
    </w:p>
    <w:p>
      <w:pPr>
        <w:pStyle w:val="Heading3"/>
      </w:pPr>
      <w:r>
        <w:t>Integrating your results</w:t>
      </w:r>
    </w:p>
    <w:p>
      <w:r>
        <w:rPr>
          <w:b/>
          <w:i w:val="0"/>
          <w:highlight w:val="yellow"/>
        </w:rPr>
        <w:t>[YOUR DATA ANALYSIS]</w:t>
      </w:r>
      <w:r>
        <w:rPr>
          <w:b w:val="0"/>
          <w:i w:val="0"/>
        </w:rPr>
        <w:t xml:space="preserve"> Once your data are analysed, set your main results against the consensus and contradictory findings above: which do your results support, which do they challenge, and which gap in the evidence do they fill?</w:t>
      </w:r>
    </w:p>
    <w:p>
      <w:pPr>
        <w:pStyle w:val="Heading2"/>
      </w:pPr>
      <w:r>
        <w:t>6. Data Analysis Plan</w:t>
      </w:r>
    </w:p>
    <w:p>
      <w:pPr>
        <w:pStyle w:val="Heading3"/>
      </w:pPr>
      <w:r>
        <w:t>6.1 Analysis approach</w:t>
      </w:r>
    </w:p>
    <w:p>
      <w:r>
        <w:rPr>
          <w:b w:val="0"/>
          <w:i w:val="0"/>
        </w:rPr>
        <w:t>The analysis follows Phase 2's recommended design, a mixed-methods design (mixed methods). Combines a quantitative strand (measuring how much or how often) with a qualitative strand (explaining how and why) and integrates their results.</w:t>
      </w:r>
    </w:p>
    <w:p>
      <w:r>
        <w:rPr>
          <w:b w:val="0"/>
          <w:i w:val="0"/>
        </w:rPr>
        <w:t>The reviewed studies analysed their data with structured assessment frameworks (risk, threat, SWOT) (Yang et al., 2025; Huang et al., 2024), comparative analysis (Sánchez et al., 2025; Lau et al., 2024), narrative synthesis of the literature (Huang et al., 2024; Fernandes et al., 2024), simulation / computational modelling (Fernandes et al., 2024; Li et al., 2023), inferential statistics (regression, significance tests) (Celeny et al., 2024) and performance metrics and benchmark comparison (Celeny et al., 2024); using comparable methods lets you compare your results with theirs directly.</w:t>
      </w:r>
    </w:p>
    <w:p>
      <w:r>
        <w:rPr>
          <w:b/>
          <w:i w:val="0"/>
        </w:rPr>
        <w:t>Quantitative analysis (computational experiment (benchmark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Question</w:t>
            </w:r>
          </w:p>
        </w:tc>
        <w:tc>
          <w:tcPr>
            <w:tcW w:type="dxa" w:w="2880"/>
          </w:tcPr>
          <w:p>
            <w:r>
              <w:rPr>
                <w:b/>
                <w:sz w:val="16"/>
              </w:rPr>
              <w:t>Recommended test</w:t>
            </w:r>
          </w:p>
        </w:tc>
        <w:tc>
          <w:tcPr>
            <w:tcW w:type="dxa" w:w="2880"/>
          </w:tcPr>
          <w:p>
            <w:r>
              <w:rPr>
                <w:b/>
                <w:sz w:val="16"/>
              </w:rPr>
              <w:t>If assumptions fail</w:t>
            </w:r>
          </w:p>
        </w:tc>
      </w:tr>
      <w:tr>
        <w:tc>
          <w:tcPr>
            <w:tcW w:type="dxa" w:w="2880"/>
          </w:tcPr>
          <w:p>
            <w:r>
              <w:rPr>
                <w:b w:val="0"/>
                <w:sz w:val="16"/>
              </w:rPr>
              <w:t>Compare two methods over repeated runs</w:t>
            </w:r>
          </w:p>
        </w:tc>
        <w:tc>
          <w:tcPr>
            <w:tcW w:type="dxa" w:w="2880"/>
          </w:tcPr>
          <w:p>
            <w:r>
              <w:rPr>
                <w:b w:val="0"/>
                <w:sz w:val="16"/>
              </w:rPr>
              <w:t>Mean ± SD (or 95% CI) over 3–10 seeds; paired t-test across seeds</w:t>
            </w:r>
          </w:p>
        </w:tc>
        <w:tc>
          <w:tcPr>
            <w:tcW w:type="dxa" w:w="2880"/>
          </w:tcPr>
          <w:p>
            <w:r>
              <w:rPr>
                <w:b w:val="0"/>
                <w:sz w:val="16"/>
              </w:rPr>
              <w:t>Wilcoxon signed-rank</w:t>
            </w:r>
          </w:p>
        </w:tc>
      </w:tr>
      <w:tr>
        <w:tc>
          <w:tcPr>
            <w:tcW w:type="dxa" w:w="2880"/>
          </w:tcPr>
          <w:p>
            <w:r>
              <w:rPr>
                <w:b w:val="0"/>
                <w:sz w:val="16"/>
              </w:rPr>
              <w:t>Compare several methods over several datasets</w:t>
            </w:r>
          </w:p>
        </w:tc>
        <w:tc>
          <w:tcPr>
            <w:tcW w:type="dxa" w:w="2880"/>
          </w:tcPr>
          <w:p>
            <w:r>
              <w:rPr>
                <w:b w:val="0"/>
                <w:sz w:val="16"/>
              </w:rPr>
              <w:t>Friedman test with Nemenyi post-hoc (Demšar, 2006)</w:t>
            </w:r>
          </w:p>
        </w:tc>
        <w:tc>
          <w:tcPr>
            <w:tcW w:type="dxa" w:w="2880"/>
          </w:tcPr>
          <w:p>
            <w:r>
              <w:rPr>
                <w:b w:val="0"/>
                <w:sz w:val="16"/>
              </w:rPr>
              <w:t>Critical-difference diagram</w:t>
            </w:r>
          </w:p>
        </w:tc>
      </w:tr>
      <w:tr>
        <w:tc>
          <w:tcPr>
            <w:tcW w:type="dxa" w:w="2880"/>
          </w:tcPr>
          <w:p>
            <w:r>
              <w:rPr>
                <w:b w:val="0"/>
                <w:sz w:val="16"/>
              </w:rPr>
              <w:t>Attribute the gain to components</w:t>
            </w:r>
          </w:p>
        </w:tc>
        <w:tc>
          <w:tcPr>
            <w:tcW w:type="dxa" w:w="2880"/>
          </w:tcPr>
          <w:p>
            <w:r>
              <w:rPr>
                <w:b w:val="0"/>
                <w:sz w:val="16"/>
              </w:rPr>
              <w:t>Ablation study: remove one component at a time</w:t>
            </w:r>
          </w:p>
        </w:tc>
        <w:tc>
          <w:tcPr>
            <w:tcW w:type="dxa" w:w="2880"/>
          </w:tcPr>
          <w:p>
            <w:r>
              <w:rPr>
                <w:b w:val="0"/>
                <w:sz w:val="16"/>
              </w:rPr>
              <w:t>—</w:t>
            </w:r>
          </w:p>
        </w:tc>
      </w:tr>
      <w:tr>
        <w:tc>
          <w:tcPr>
            <w:tcW w:type="dxa" w:w="2880"/>
          </w:tcPr>
          <w:p>
            <w:r>
              <w:rPr>
                <w:b w:val="0"/>
                <w:sz w:val="16"/>
              </w:rPr>
              <w:t>Relationship between two continuous variables</w:t>
            </w:r>
          </w:p>
        </w:tc>
        <w:tc>
          <w:tcPr>
            <w:tcW w:type="dxa" w:w="2880"/>
          </w:tcPr>
          <w:p>
            <w:r>
              <w:rPr>
                <w:b w:val="0"/>
                <w:sz w:val="16"/>
              </w:rPr>
              <w:t>Pearson correlation</w:t>
            </w:r>
          </w:p>
        </w:tc>
        <w:tc>
          <w:tcPr>
            <w:tcW w:type="dxa" w:w="2880"/>
          </w:tcPr>
          <w:p>
            <w:r>
              <w:rPr>
                <w:b w:val="0"/>
                <w:sz w:val="16"/>
              </w:rPr>
              <w:t>Spearman's rho</w:t>
            </w:r>
          </w:p>
        </w:tc>
      </w:tr>
      <w:tr>
        <w:tc>
          <w:tcPr>
            <w:tcW w:type="dxa" w:w="2880"/>
          </w:tcPr>
          <w:p>
            <w:r>
              <w:rPr>
                <w:b w:val="0"/>
                <w:sz w:val="16"/>
              </w:rPr>
              <w:t>Predict an outcome from several variables</w:t>
            </w:r>
          </w:p>
        </w:tc>
        <w:tc>
          <w:tcPr>
            <w:tcW w:type="dxa" w:w="2880"/>
          </w:tcPr>
          <w:p>
            <w:r>
              <w:rPr>
                <w:b w:val="0"/>
                <w:sz w:val="16"/>
              </w:rPr>
              <w:t>Multiple linear regression (logistic for a binary outcome)</w:t>
            </w:r>
          </w:p>
        </w:tc>
        <w:tc>
          <w:tcPr>
            <w:tcW w:type="dxa" w:w="2880"/>
          </w:tcPr>
          <w:p>
            <w:r>
              <w:rPr>
                <w:b w:val="0"/>
                <w:sz w:val="16"/>
              </w:rPr>
              <w:t>Robust or ordinal regression</w:t>
            </w:r>
          </w:p>
        </w:tc>
      </w:tr>
    </w:tbl>
    <w:p/>
    <w:p>
      <w:r>
        <w:rPr>
          <w:b w:val="0"/>
          <w:i w:val="0"/>
        </w:rPr>
        <w:t>Start with descriptive statistics (means and SDs, or medians and ranges, and percentages) for every variable; check the tests' assumptions (normality, equal variances, independence); report effect sizes with 95% confidence intervals alongside p-values; and correct for multiple comparisons (e.g. Holm) when running many tests.</w:t>
      </w:r>
    </w:p>
    <w:p>
      <w:r>
        <w:rPr>
          <w:b/>
          <w:i w:val="0"/>
        </w:rPr>
        <w:t>Qualitative analysis (case study).</w:t>
      </w:r>
    </w:p>
    <w:p>
      <w:pPr>
        <w:pStyle w:val="ListBullet"/>
      </w:pPr>
      <w:r>
        <w:rPr>
          <w:b w:val="0"/>
          <w:i w:val="0"/>
        </w:rPr>
        <w:t>Within-case analysis: pattern matching or process tracing against the propositions from the reviewed studies</w:t>
      </w:r>
    </w:p>
    <w:p>
      <w:pPr>
        <w:pStyle w:val="ListBullet"/>
      </w:pPr>
      <w:r>
        <w:rPr>
          <w:b w:val="0"/>
          <w:i w:val="0"/>
        </w:rPr>
        <w:t>Cross-case synthesis when several cases are studied</w:t>
      </w:r>
    </w:p>
    <w:p>
      <w:pPr>
        <w:pStyle w:val="ListBullet"/>
      </w:pPr>
      <w:r>
        <w:rPr>
          <w:b w:val="0"/>
          <w:i w:val="0"/>
        </w:rPr>
        <w:t>Thematic analysis of the case interviews and documents</w:t>
      </w:r>
    </w:p>
    <w:p>
      <w:r>
        <w:rPr>
          <w:b w:val="0"/>
          <w:i w:val="0"/>
        </w:rPr>
        <w:t>Keep a codebook and an audit trail of coding decisions; have a second coder code a sample (report agreement, e.g. Cohen's κ) or, for reflexive approaches, discuss the codes with a peer; support themes with quotations; and use software such as NVivo, ATLAS.ti or Taguette.</w:t>
      </w:r>
    </w:p>
    <w:p>
      <w:r>
        <w:rPr>
          <w:b/>
          <w:i w:val="0"/>
        </w:rPr>
        <w:t>Integrating the strands.</w:t>
      </w:r>
      <w:r>
        <w:rPr>
          <w:b w:val="0"/>
          <w:i w:val="0"/>
        </w:rPr>
        <w:t xml:space="preserve"> Analyse the quantitative strand first, then use its results to select cases or participants for the qualitative strand (e.g. the highest and lowest scorers) and to focus its questions. Integrate them in a joint display that sets each statistical result beside the themes that explain it, and note where the strands agree, complement or contradict each other.</w:t>
      </w:r>
    </w:p>
    <w:p>
      <w:r>
        <w:rPr>
          <w:b/>
          <w:i w:val="0"/>
          <w:highlight w:val="yellow"/>
        </w:rPr>
        <w:t>[YOUR ANALYSIS METHOD]</w:t>
      </w:r>
      <w:r>
        <w:rPr>
          <w:b w:val="0"/>
          <w:i w:val="0"/>
        </w:rPr>
        <w:t xml:space="preserve"> Specify the analysis you will run: for each research question or hypothesis, the variables or themes, the exact test or coding procedure, the software and version, and the significance level or quality criteria.</w:t>
      </w:r>
    </w:p>
    <w:p>
      <w:pPr>
        <w:pStyle w:val="Heading3"/>
      </w:pPr>
      <w:r>
        <w:t>6.2 Sample size</w:t>
      </w:r>
    </w:p>
    <w:p>
      <w:r>
        <w:rPr>
          <w:b/>
          <w:i w:val="0"/>
        </w:rPr>
        <w:t>From the reviewed studies.</w:t>
      </w:r>
      <w:r>
        <w:rPr>
          <w:b w:val="0"/>
          <w:i w:val="0"/>
        </w:rPr>
        <w:t xml:space="preserve"> Stated samples: 815 papers (Ahmed et al., 2024) and 449 papers (Huang et al., 2024). Samples of cases and documents range from 449 to 815 (median 632).</w:t>
      </w:r>
    </w:p>
    <w:p>
      <w:pPr>
        <w:pStyle w:val="ListBullet"/>
      </w:pPr>
      <w:r>
        <w:rPr>
          <w:b/>
          <w:i w:val="0"/>
        </w:rPr>
        <w:t>Computational experiment (benchmark evaluation):</w:t>
      </w:r>
      <w:r>
        <w:rPr>
          <w:b w:val="0"/>
          <w:i w:val="0"/>
        </w:rPr>
        <w:t xml:space="preserve"> Use the standard benchmark splits so results are comparable, evaluate on more than one dataset, and report the number of runs (commonly 3–10 seeds).</w:t>
      </w:r>
    </w:p>
    <w:p>
      <w:pPr>
        <w:pStyle w:val="ListBullet"/>
      </w:pPr>
      <w:r>
        <w:rPr>
          <w:b/>
          <w:i w:val="0"/>
        </w:rPr>
        <w:t>Case study:</w:t>
      </w:r>
      <w:r>
        <w:rPr>
          <w:b w:val="0"/>
          <w:i w:val="0"/>
        </w:rPr>
        <w:t xml:space="preserve"> One to a few cases (multiple-case designs often use 2–6), each selected for a stated reason, e.g. a typical, extreme or most-similar case.</w:t>
      </w:r>
    </w:p>
    <w:p>
      <w:pPr>
        <w:pStyle w:val="Heading3"/>
      </w:pPr>
      <w:r>
        <w:t>6.3 Power analysis</w:t>
      </w:r>
    </w:p>
    <w:p>
      <w:r>
        <w:rPr>
          <w:b w:val="0"/>
          <w:i w:val="0"/>
        </w:rPr>
        <w:t>Statistical power is set by the number of independent runs and test cases rather than participants: run each method with several random seeds (3–10), on more than one dataset or scenario, and test whether the differences exceed the run-to-run variation (paired tests across seeds or datasets).</w:t>
      </w:r>
    </w:p>
    <w:p>
      <w:r>
        <w:rPr>
          <w:b w:val="0"/>
          <w:i/>
        </w:rPr>
        <w:t>Phase 3 reads findings and statistics from the papers' abstracts and the Phase 1 summaries, so results reported only in a full text are missed. Every finding and the sentence it was read from are listed in cyber-warfare-results-analysis.json.</w:t>
      </w:r>
    </w:p>
    <w:p>
      <w:pPr>
        <w:pStyle w:val="Heading2"/>
      </w:pPr>
      <w:r>
        <w:t>References</w:t>
      </w:r>
    </w:p>
    <w:p>
      <w:r>
        <w:rPr>
          <w:b w:val="0"/>
          <w:i w:val="0"/>
        </w:rPr>
        <w:t>Ahmed, U., Sipola, T., &amp; Hautamäki, J. (2024). Cyber Protection Applications of Quantum Computing: A Review. arXiv. https://doi.org/10.34190/eccws.23.1.2182</w:t>
      </w:r>
    </w:p>
    <w:p>
      <w:r>
        <w:rPr>
          <w:b w:val="0"/>
          <w:i w:val="0"/>
        </w:rPr>
        <w:t>Benkő, G., &amp; Biczók, G. (2024). The Cyber Alliance Game: How Alliances Influence Cyber-Warfare. arXiv. http://arxiv.org/abs/2410.05953v1</w:t>
      </w:r>
    </w:p>
    <w:p>
      <w:r>
        <w:rPr>
          <w:b w:val="0"/>
          <w:i w:val="0"/>
        </w:rPr>
        <w:t>Bouke, M., &amp; Abdullah, A. (2023). Turnkey Technology: A Powerful Tool for Cyber Warfare. arXiv. http://arxiv.org/abs/2308.14576v1</w:t>
      </w:r>
    </w:p>
    <w:p>
      <w:r>
        <w:rPr>
          <w:b w:val="0"/>
          <w:i w:val="0"/>
        </w:rPr>
        <w:t>Celeny, D., &amp; Maréchal, L. (2024). Cyber risk and the cross-section of stock returns. arXiv. http://arxiv.org/abs/2402.04775v2</w:t>
      </w:r>
    </w:p>
    <w:p>
      <w:r>
        <w:rPr>
          <w:b w:val="0"/>
          <w:i w:val="0"/>
        </w:rPr>
        <w:t>Diggelen, J. v., Aidman, E., Rowa, J., &amp; Vince, J. (2025). Designing AI-Enabled Countermeasures to Cognitive Warfare. arXiv. http://arxiv.org/abs/2504.11486v1</w:t>
      </w:r>
    </w:p>
    <w:p>
      <w:r>
        <w:rPr>
          <w:b w:val="0"/>
          <w:i w:val="0"/>
        </w:rPr>
        <w:t>Ear, E., Remy, J. L. C., &amp; Xu, S. (2023). Towards Automated Cyber Range Design: Characterizing and Matching Demands to Supplies. arXiv. https://doi.org/10.1109/CSR57506.2023.10224940</w:t>
      </w:r>
    </w:p>
    <w:p>
      <w:r>
        <w:rPr>
          <w:b w:val="0"/>
          <w:i w:val="0"/>
        </w:rPr>
        <w:t>Fernandes, Y., &amp; Abosata, N. (2024). Analysing India's Cyber Warfare Readiness and Developing a Defence Strategy. arXiv. http://arxiv.org/abs/2406.12568v1</w:t>
      </w:r>
    </w:p>
    <w:p>
      <w:r>
        <w:rPr>
          <w:b w:val="0"/>
          <w:i w:val="0"/>
        </w:rPr>
        <w:t>Huang, S., Poskitt, C. M., &amp; Shar, L. K. (2024). Security Modelling for Cyber-Physical Systems: A Systematic Literature Review. arXiv. https://doi.org/10.1145/3776549</w:t>
      </w:r>
    </w:p>
    <w:p>
      <w:r>
        <w:rPr>
          <w:b w:val="0"/>
          <w:i w:val="0"/>
        </w:rPr>
        <w:t>Kiely, M., Bowman, D., Standen, M., &amp; Moir, C. (2023). On Autonomous Agents in a Cyber Defence Environment. arXiv. http://arxiv.org/abs/2309.07388v1</w:t>
      </w:r>
    </w:p>
    <w:p>
      <w:r>
        <w:rPr>
          <w:b w:val="0"/>
          <w:i w:val="0"/>
        </w:rPr>
        <w:t>Lau, P., Wang, L., Wei, W., Liu, Z., &amp; Ten, C. (2024). A Novel Mutual Insurance Model for Hedging Against Cyber Risks in Power Systems Deploying Smart Technologies. arXiv. https://doi.org/10.1109/TPWRS.2022.3164628</w:t>
      </w:r>
    </w:p>
    <w:p>
      <w:r>
        <w:rPr>
          <w:b w:val="0"/>
          <w:i w:val="0"/>
        </w:rPr>
        <w:t>Li, L., Rami, J. S. E., Kerr, R., Taylor, A., &amp; Vandenberghe, G. (2023). Towards Autonomous Cyber Operation Agents: Exploring the Red Case. arXiv. http://arxiv.org/abs/2309.02247v2</w:t>
      </w:r>
    </w:p>
    <w:p>
      <w:r>
        <w:rPr>
          <w:b w:val="0"/>
          <w:i w:val="0"/>
        </w:rPr>
        <w:t>Li, T., &amp; Zhu, Q. (2024). Symbiotic Game and Foundation Models for Cyber Deception Operations in Strategic Cyber Warfare. arXiv. http://arxiv.org/abs/2403.10570v2</w:t>
      </w:r>
    </w:p>
    <w:p>
      <w:r>
        <w:rPr>
          <w:b w:val="0"/>
          <w:i w:val="0"/>
        </w:rPr>
        <w:t>Sánchez, G., Elbez, G., &amp; Hagenmeyer, V. (2025). A Global Analysis of Cyber Threats to the Energy Sector: "Currents of Conflict" from a Geopolitical Perspective. arXiv. https://doi.org/10.17560/atp.v67i9.2797</w:t>
      </w:r>
    </w:p>
    <w:p>
      <w:r>
        <w:rPr>
          <w:b w:val="0"/>
          <w:i w:val="0"/>
        </w:rPr>
        <w:t>Yang, Y., &amp; Zhu, Q. (2025). A Multi-Resolution Dynamic Game Framework for Cross-Echelon Decision-Making in Cyber Warfare. arXiv. http://arxiv.org/abs/2507.03021v1</w:t>
      </w:r>
    </w:p>
    <w:p>
      <w:r>
        <w:rPr>
          <w:b w:val="0"/>
          <w:i w:val="0"/>
        </w:rPr>
        <w:t>Yang, Y., &amp; Zhu, Q. (2025). Toward a Multi-Echelon Cyber Warfare Theory: A Meta-Game-Theoretic Paradigm for Defense and Dominance. arXiv. http://arxiv.org/abs/2509.08976v2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