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63" w:rsidRPr="00E72C63" w:rsidRDefault="00E72C63" w:rsidP="002762E3">
      <w:pPr>
        <w:spacing w:after="0" w:line="360" w:lineRule="auto"/>
        <w:jc w:val="both"/>
        <w:textAlignment w:val="baseline"/>
        <w:outlineLvl w:val="1"/>
        <w:rPr>
          <w:rFonts w:ascii="Arial" w:eastAsia="Times New Roman" w:hAnsi="Arial" w:cs="Arial"/>
          <w:sz w:val="48"/>
          <w:szCs w:val="48"/>
          <w:lang w:eastAsia="es-ES"/>
        </w:rPr>
      </w:pPr>
      <w:r w:rsidRPr="000266EA">
        <w:rPr>
          <w:rFonts w:ascii="Arial" w:eastAsia="Times New Roman" w:hAnsi="Arial" w:cs="Arial"/>
          <w:sz w:val="48"/>
          <w:szCs w:val="48"/>
          <w:lang w:eastAsia="es-ES"/>
        </w:rPr>
        <w:t>Qué es el Plan General Contable</w:t>
      </w:r>
      <w:proofErr w:type="gramStart"/>
      <w:r w:rsidRPr="000266EA">
        <w:rPr>
          <w:rFonts w:ascii="Arial" w:eastAsia="Times New Roman" w:hAnsi="Arial" w:cs="Arial"/>
          <w:sz w:val="48"/>
          <w:szCs w:val="48"/>
          <w:lang w:eastAsia="es-ES"/>
        </w:rPr>
        <w:t>?</w:t>
      </w:r>
      <w:proofErr w:type="gramEnd"/>
    </w:p>
    <w:p w:rsidR="00E72C63" w:rsidRPr="00E72C63" w:rsidRDefault="00E72C63" w:rsidP="002762E3">
      <w:pPr>
        <w:spacing w:after="0" w:line="360" w:lineRule="auto"/>
        <w:jc w:val="both"/>
        <w:textAlignment w:val="baseline"/>
        <w:rPr>
          <w:rFonts w:ascii="Arial" w:eastAsia="Times New Roman" w:hAnsi="Arial" w:cs="Arial"/>
          <w:sz w:val="20"/>
          <w:szCs w:val="20"/>
          <w:lang w:eastAsia="es-ES"/>
        </w:rPr>
      </w:pPr>
      <w:r w:rsidRPr="00E72C63">
        <w:rPr>
          <w:rFonts w:ascii="Arial" w:eastAsia="Times New Roman" w:hAnsi="Arial" w:cs="Arial"/>
          <w:sz w:val="20"/>
          <w:szCs w:val="20"/>
          <w:lang w:eastAsia="es-ES"/>
        </w:rPr>
        <w:t xml:space="preserve">El Plan General Contable es el </w:t>
      </w:r>
      <w:r w:rsidRPr="000266EA">
        <w:rPr>
          <w:rFonts w:ascii="Arial" w:eastAsia="Times New Roman" w:hAnsi="Arial" w:cs="Arial"/>
          <w:b/>
          <w:bCs/>
          <w:sz w:val="20"/>
          <w:szCs w:val="20"/>
          <w:lang w:eastAsia="es-ES"/>
        </w:rPr>
        <w:t>texto legal</w:t>
      </w:r>
      <w:r w:rsidRPr="00E72C63">
        <w:rPr>
          <w:rFonts w:ascii="Arial" w:eastAsia="Times New Roman" w:hAnsi="Arial" w:cs="Arial"/>
          <w:sz w:val="20"/>
          <w:szCs w:val="20"/>
          <w:lang w:eastAsia="es-ES"/>
        </w:rPr>
        <w:t xml:space="preserve"> que </w:t>
      </w:r>
      <w:r w:rsidRPr="000266EA">
        <w:rPr>
          <w:rFonts w:ascii="Arial" w:eastAsia="Times New Roman" w:hAnsi="Arial" w:cs="Arial"/>
          <w:b/>
          <w:bCs/>
          <w:sz w:val="20"/>
          <w:szCs w:val="20"/>
          <w:lang w:eastAsia="es-ES"/>
        </w:rPr>
        <w:t>regula la contabilidad</w:t>
      </w:r>
      <w:r w:rsidRPr="00E72C63">
        <w:rPr>
          <w:rFonts w:ascii="Arial" w:eastAsia="Times New Roman" w:hAnsi="Arial" w:cs="Arial"/>
          <w:sz w:val="20"/>
          <w:szCs w:val="20"/>
          <w:lang w:eastAsia="es-ES"/>
        </w:rPr>
        <w:t xml:space="preserve"> de todas las empresas en España. Gracias a este plan las empresas tienen unos criterios homogéneos para valorar las mismas operaciones, de esta manera se pueden comparar unas empresas con otras.</w:t>
      </w:r>
    </w:p>
    <w:p w:rsidR="00E72C63" w:rsidRPr="00E72C63" w:rsidRDefault="00E72C63" w:rsidP="002762E3">
      <w:pPr>
        <w:spacing w:after="313" w:line="360" w:lineRule="auto"/>
        <w:jc w:val="both"/>
        <w:textAlignment w:val="baseline"/>
        <w:rPr>
          <w:rFonts w:ascii="Arial" w:eastAsia="Times New Roman" w:hAnsi="Arial" w:cs="Arial"/>
          <w:sz w:val="20"/>
          <w:szCs w:val="20"/>
          <w:lang w:eastAsia="es-ES"/>
        </w:rPr>
      </w:pPr>
      <w:r w:rsidRPr="00E72C63">
        <w:rPr>
          <w:rFonts w:ascii="Arial" w:eastAsia="Times New Roman" w:hAnsi="Arial" w:cs="Arial"/>
          <w:sz w:val="20"/>
          <w:szCs w:val="20"/>
          <w:lang w:eastAsia="es-ES"/>
        </w:rPr>
        <w:t>También proporciona seguridad jurídica a la hora de contabilizar y a la hora de tener en cuenta los beneficios empresariales. De forma que todas las empresas que se ajustan a las normas de contabilidad y son fieles a ellas no deberían tener ningún problema con el Estado o con otras entidades, ya que se están ajustando a la imagen fiel de la empresa.</w:t>
      </w:r>
    </w:p>
    <w:p w:rsidR="00E72C63" w:rsidRPr="00E72C63" w:rsidRDefault="00E72C63" w:rsidP="002762E3">
      <w:pPr>
        <w:spacing w:before="100" w:beforeAutospacing="1" w:after="100" w:afterAutospacing="1" w:line="360" w:lineRule="auto"/>
        <w:jc w:val="both"/>
        <w:outlineLvl w:val="1"/>
        <w:rPr>
          <w:rFonts w:ascii="Arial" w:eastAsia="Times New Roman" w:hAnsi="Arial" w:cs="Arial"/>
          <w:b/>
          <w:bCs/>
          <w:sz w:val="20"/>
          <w:szCs w:val="20"/>
          <w:lang w:eastAsia="es-ES"/>
        </w:rPr>
      </w:pPr>
      <w:r w:rsidRPr="00E72C63">
        <w:rPr>
          <w:rFonts w:ascii="Arial" w:eastAsia="Times New Roman" w:hAnsi="Arial" w:cs="Arial"/>
          <w:b/>
          <w:bCs/>
          <w:sz w:val="20"/>
          <w:szCs w:val="20"/>
          <w:lang w:eastAsia="es-ES"/>
        </w:rPr>
        <w:t>1) Partes en que se divide el Plan General de Contabilidad</w:t>
      </w:r>
    </w:p>
    <w:tbl>
      <w:tblPr>
        <w:tblW w:w="675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39"/>
        <w:gridCol w:w="3212"/>
        <w:gridCol w:w="2299"/>
      </w:tblGrid>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w:t>
            </w:r>
            <w:r w:rsidRPr="00E72C63">
              <w:rPr>
                <w:rFonts w:ascii="Arial" w:eastAsia="Times New Roman" w:hAnsi="Arial" w:cs="Arial"/>
                <w:b/>
                <w:bCs/>
                <w:sz w:val="20"/>
                <w:szCs w:val="20"/>
                <w:lang w:eastAsia="es-ES"/>
              </w:rPr>
              <w:t>DENOMINACION</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w:t>
            </w:r>
            <w:r w:rsidRPr="00E72C63">
              <w:rPr>
                <w:rFonts w:ascii="Arial" w:eastAsia="Times New Roman" w:hAnsi="Arial" w:cs="Arial"/>
                <w:b/>
                <w:bCs/>
                <w:sz w:val="20"/>
                <w:szCs w:val="20"/>
                <w:lang w:eastAsia="es-ES"/>
              </w:rPr>
              <w:t>OBLIGATORIEDAD</w:t>
            </w:r>
          </w:p>
        </w:tc>
      </w:tr>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1ª PARTE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PRINCIPIOS CONTABLES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i/>
                <w:iCs/>
                <w:sz w:val="20"/>
                <w:szCs w:val="20"/>
                <w:lang w:eastAsia="es-ES"/>
              </w:rPr>
              <w:t> Obligatoria</w:t>
            </w:r>
          </w:p>
        </w:tc>
      </w:tr>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2ª PARTE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CUADRO DE CUENTAS</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i/>
                <w:iCs/>
                <w:sz w:val="20"/>
                <w:szCs w:val="20"/>
                <w:lang w:eastAsia="es-ES"/>
              </w:rPr>
              <w:t>Voluntaria</w:t>
            </w:r>
          </w:p>
        </w:tc>
      </w:tr>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3ª PARTE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DEFINICIONES Y RELACIONES CONTABLES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i/>
                <w:iCs/>
                <w:sz w:val="20"/>
                <w:szCs w:val="20"/>
                <w:lang w:eastAsia="es-ES"/>
              </w:rPr>
              <w:t> Voluntaria</w:t>
            </w:r>
          </w:p>
        </w:tc>
      </w:tr>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4ª PARTE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CUENTAS ANUALES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i/>
                <w:iCs/>
                <w:sz w:val="20"/>
                <w:szCs w:val="20"/>
                <w:lang w:eastAsia="es-ES"/>
              </w:rPr>
              <w:t> Obligatoria</w:t>
            </w:r>
          </w:p>
        </w:tc>
      </w:tr>
      <w:tr w:rsidR="00E72C63" w:rsidRPr="00E72C63" w:rsidTr="00E72C63">
        <w:trPr>
          <w:tblCellSpacing w:w="15"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5ª PARTE</w:t>
            </w:r>
          </w:p>
        </w:tc>
        <w:tc>
          <w:tcPr>
            <w:tcW w:w="24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 NORMAS DE VALORACION</w:t>
            </w:r>
          </w:p>
        </w:tc>
        <w:tc>
          <w:tcPr>
            <w:tcW w:w="1700" w:type="pct"/>
            <w:tcBorders>
              <w:top w:val="outset" w:sz="6" w:space="0" w:color="auto"/>
              <w:left w:val="outset" w:sz="6" w:space="0" w:color="auto"/>
              <w:bottom w:val="outset" w:sz="6" w:space="0" w:color="auto"/>
              <w:right w:val="outset" w:sz="6" w:space="0" w:color="auto"/>
            </w:tcBorders>
            <w:vAlign w:val="center"/>
            <w:hideMark/>
          </w:tcPr>
          <w:p w:rsidR="00E72C63" w:rsidRPr="00E72C63" w:rsidRDefault="00E72C63" w:rsidP="002762E3">
            <w:pPr>
              <w:spacing w:after="0" w:line="360" w:lineRule="auto"/>
              <w:jc w:val="both"/>
              <w:rPr>
                <w:rFonts w:ascii="Arial" w:eastAsia="Times New Roman" w:hAnsi="Arial" w:cs="Arial"/>
                <w:sz w:val="20"/>
                <w:szCs w:val="20"/>
                <w:lang w:eastAsia="es-ES"/>
              </w:rPr>
            </w:pPr>
            <w:r w:rsidRPr="00E72C63">
              <w:rPr>
                <w:rFonts w:ascii="Arial" w:eastAsia="Times New Roman" w:hAnsi="Arial" w:cs="Arial"/>
                <w:i/>
                <w:iCs/>
                <w:sz w:val="20"/>
                <w:szCs w:val="20"/>
                <w:lang w:eastAsia="es-ES"/>
              </w:rPr>
              <w:t> Obligatoria</w:t>
            </w:r>
          </w:p>
        </w:tc>
      </w:tr>
    </w:tbl>
    <w:p w:rsidR="00E72C63" w:rsidRPr="00E72C63" w:rsidRDefault="00657B21" w:rsidP="002762E3">
      <w:pPr>
        <w:spacing w:before="100" w:beforeAutospacing="1" w:after="100" w:afterAutospacing="1" w:line="360" w:lineRule="auto"/>
        <w:jc w:val="both"/>
        <w:outlineLvl w:val="1"/>
        <w:rPr>
          <w:rFonts w:ascii="Arial" w:eastAsia="Times New Roman" w:hAnsi="Arial" w:cs="Arial"/>
          <w:b/>
          <w:bCs/>
          <w:sz w:val="20"/>
          <w:szCs w:val="20"/>
          <w:lang w:eastAsia="es-ES"/>
        </w:rPr>
      </w:pPr>
      <w:r w:rsidRPr="00657B21">
        <w:rPr>
          <w:rFonts w:ascii="Arial" w:eastAsia="Times New Roman" w:hAnsi="Arial" w:cs="Arial"/>
          <w:b/>
          <w:bCs/>
          <w:sz w:val="20"/>
          <w:szCs w:val="20"/>
          <w:lang w:eastAsia="es-ES"/>
        </w:rPr>
        <w:pict>
          <v:rect id="_x0000_i1025" style="width:170.1pt;height:1.5pt" o:hrpct="400" o:hrstd="t" o:hrnoshade="t" o:hr="t" fillcolor="#a0a0a0" stroked="f"/>
        </w:pict>
      </w:r>
    </w:p>
    <w:p w:rsidR="00E72C63" w:rsidRPr="00E72C63" w:rsidRDefault="00E72C63" w:rsidP="002762E3">
      <w:pPr>
        <w:spacing w:before="100" w:beforeAutospacing="1" w:after="100" w:afterAutospacing="1" w:line="360" w:lineRule="auto"/>
        <w:jc w:val="both"/>
        <w:outlineLvl w:val="1"/>
        <w:rPr>
          <w:rFonts w:ascii="Arial" w:eastAsia="Times New Roman" w:hAnsi="Arial" w:cs="Arial"/>
          <w:b/>
          <w:bCs/>
          <w:sz w:val="20"/>
          <w:szCs w:val="20"/>
          <w:lang w:eastAsia="es-ES"/>
        </w:rPr>
      </w:pPr>
      <w:r w:rsidRPr="00E72C63">
        <w:rPr>
          <w:rFonts w:ascii="Arial" w:eastAsia="Times New Roman" w:hAnsi="Arial" w:cs="Arial"/>
          <w:b/>
          <w:bCs/>
          <w:sz w:val="20"/>
          <w:szCs w:val="20"/>
          <w:lang w:eastAsia="es-ES"/>
        </w:rPr>
        <w:t>2) Descripción del contenido de las partes</w:t>
      </w:r>
    </w:p>
    <w:p w:rsidR="00E72C63" w:rsidRPr="000266EA" w:rsidRDefault="00E72C63" w:rsidP="002762E3">
      <w:pPr>
        <w:spacing w:beforeAutospacing="1" w:after="100" w:afterAutospacing="1"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xml:space="preserve">1º. </w:t>
      </w:r>
      <w:r w:rsidRPr="00E72C63">
        <w:rPr>
          <w:rFonts w:ascii="Arial" w:eastAsia="Times New Roman" w:hAnsi="Arial" w:cs="Arial"/>
          <w:sz w:val="20"/>
          <w:szCs w:val="20"/>
          <w:lang w:eastAsia="es-ES"/>
        </w:rPr>
        <w:t xml:space="preserve">La primera parte, </w:t>
      </w:r>
      <w:r w:rsidRPr="00E72C63">
        <w:rPr>
          <w:rFonts w:ascii="Arial" w:eastAsia="Times New Roman" w:hAnsi="Arial" w:cs="Arial"/>
          <w:b/>
          <w:bCs/>
          <w:sz w:val="20"/>
          <w:szCs w:val="20"/>
          <w:lang w:eastAsia="es-ES"/>
        </w:rPr>
        <w:t>Principios contables</w:t>
      </w:r>
      <w:r w:rsidRPr="00E72C63">
        <w:rPr>
          <w:rFonts w:ascii="Arial" w:eastAsia="Times New Roman" w:hAnsi="Arial" w:cs="Arial"/>
          <w:sz w:val="20"/>
          <w:szCs w:val="20"/>
          <w:lang w:eastAsia="es-ES"/>
        </w:rPr>
        <w:t>, incluye las normas generales que han de presidir tanto el registro de los hechos contables como la presentación de la información en los estados financieros.</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t>Empresa en funcionamiento</w:t>
      </w:r>
      <w:r w:rsidRPr="00956953">
        <w:rPr>
          <w:rFonts w:ascii="Arial" w:eastAsia="Times New Roman" w:hAnsi="Arial" w:cs="Arial"/>
          <w:sz w:val="20"/>
          <w:szCs w:val="20"/>
          <w:lang w:eastAsia="es-ES"/>
        </w:rPr>
        <w:t>. Se considerará que la gestión de la empresa es prácticamente indefinida. En consecuencia, la aplicación de los principios contables no irá encaminada a determinar el valor del patrimonio a efectos de su enajenación global o parcial ni el importe resultante en caso de liquidación.</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t>Prudencia</w:t>
      </w:r>
      <w:r w:rsidRPr="00956953">
        <w:rPr>
          <w:rFonts w:ascii="Arial" w:eastAsia="Times New Roman" w:hAnsi="Arial" w:cs="Arial"/>
          <w:sz w:val="20"/>
          <w:szCs w:val="20"/>
          <w:lang w:eastAsia="es-ES"/>
        </w:rPr>
        <w:t>. Únicamente se contabilizarán los beneficios realizados a la fecha de cierre de ejercicio. Por el contrario, los riesgos previsibles y las pérdidas eventuales con origen en el ejercicio o en otro anterior deberán contabilizarse tan pronto sean conocidas.</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t>Devengo</w:t>
      </w:r>
      <w:r w:rsidRPr="00956953">
        <w:rPr>
          <w:rFonts w:ascii="Arial" w:eastAsia="Times New Roman" w:hAnsi="Arial" w:cs="Arial"/>
          <w:sz w:val="20"/>
          <w:szCs w:val="20"/>
          <w:lang w:eastAsia="es-ES"/>
        </w:rPr>
        <w:t>. La imputación de ingresos y gastos deberá hacerse en función de la corriente real que los mismos representan y con independencia del momento en que se produzca la corriente monetaria o financiera derivada de ellos.</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lastRenderedPageBreak/>
        <w:t>Uniformidad</w:t>
      </w:r>
      <w:r w:rsidRPr="00956953">
        <w:rPr>
          <w:rFonts w:ascii="Arial" w:eastAsia="Times New Roman" w:hAnsi="Arial" w:cs="Arial"/>
          <w:sz w:val="20"/>
          <w:szCs w:val="20"/>
          <w:lang w:eastAsia="es-ES"/>
        </w:rPr>
        <w:t>. Una vez adoptado un criterio en la aplicación de los principios contables dentro de las alternativas que, en su caso, estos permitan, deberá mantenerse en el tiempo.</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t>No compensación</w:t>
      </w:r>
      <w:r w:rsidRPr="00956953">
        <w:rPr>
          <w:rFonts w:ascii="Arial" w:eastAsia="Times New Roman" w:hAnsi="Arial" w:cs="Arial"/>
          <w:sz w:val="20"/>
          <w:szCs w:val="20"/>
          <w:lang w:eastAsia="es-ES"/>
        </w:rPr>
        <w:t>. En ningún caso podrán compensarse las partidas de activo y del pasivo del balance ni las de gastos e ingresos que integran la cuenta de pérdidas y ganancias.</w:t>
      </w:r>
    </w:p>
    <w:p w:rsidR="00E72C63" w:rsidRPr="00956953" w:rsidRDefault="00E72C63" w:rsidP="002762E3">
      <w:pPr>
        <w:pStyle w:val="Prrafodelista"/>
        <w:numPr>
          <w:ilvl w:val="0"/>
          <w:numId w:val="3"/>
        </w:numPr>
        <w:spacing w:after="0" w:line="360" w:lineRule="auto"/>
        <w:jc w:val="both"/>
        <w:textAlignment w:val="baseline"/>
        <w:rPr>
          <w:rFonts w:ascii="Arial" w:eastAsia="Times New Roman" w:hAnsi="Arial" w:cs="Arial"/>
          <w:sz w:val="20"/>
          <w:szCs w:val="20"/>
          <w:lang w:eastAsia="es-ES"/>
        </w:rPr>
      </w:pPr>
      <w:r w:rsidRPr="00956953">
        <w:rPr>
          <w:rFonts w:ascii="Arial" w:eastAsia="Times New Roman" w:hAnsi="Arial" w:cs="Arial"/>
          <w:b/>
          <w:bCs/>
          <w:sz w:val="20"/>
          <w:szCs w:val="20"/>
          <w:lang w:eastAsia="es-ES"/>
        </w:rPr>
        <w:t>Importancia Relativa</w:t>
      </w:r>
      <w:r w:rsidRPr="00956953">
        <w:rPr>
          <w:rFonts w:ascii="Arial" w:eastAsia="Times New Roman" w:hAnsi="Arial" w:cs="Arial"/>
          <w:sz w:val="20"/>
          <w:szCs w:val="20"/>
          <w:lang w:eastAsia="es-ES"/>
        </w:rPr>
        <w:t>. Podrá admitirse la no aplicación estricta de algunos de los principios contables siempre y cuando la importancia relativa en términos cuantitativos de la variación que tal hecho produzca sea escasamente significativa y, en consecuencia, no altere las cuentas anuales como expresión de la imagen fiel.</w:t>
      </w:r>
    </w:p>
    <w:p w:rsidR="00E72C63" w:rsidRPr="00E72C63" w:rsidRDefault="00E72C63" w:rsidP="002762E3">
      <w:pPr>
        <w:spacing w:beforeAutospacing="1" w:after="100" w:afterAutospacing="1" w:line="360" w:lineRule="auto"/>
        <w:jc w:val="both"/>
        <w:rPr>
          <w:rFonts w:ascii="Arial" w:eastAsia="Times New Roman" w:hAnsi="Arial" w:cs="Arial"/>
          <w:sz w:val="20"/>
          <w:szCs w:val="20"/>
          <w:lang w:eastAsia="es-ES"/>
        </w:rPr>
      </w:pPr>
    </w:p>
    <w:p w:rsidR="00E72C63" w:rsidRPr="000266EA" w:rsidRDefault="00E72C63" w:rsidP="002762E3">
      <w:pPr>
        <w:spacing w:before="100" w:beforeAutospacing="1" w:after="100" w:afterAutospacing="1"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xml:space="preserve">2º. </w:t>
      </w:r>
      <w:r w:rsidRPr="00E72C63">
        <w:rPr>
          <w:rFonts w:ascii="Arial" w:eastAsia="Times New Roman" w:hAnsi="Arial" w:cs="Arial"/>
          <w:sz w:val="20"/>
          <w:szCs w:val="20"/>
          <w:lang w:eastAsia="es-ES"/>
        </w:rPr>
        <w:t xml:space="preserve">La segunda parte, </w:t>
      </w:r>
      <w:r w:rsidRPr="00E72C63">
        <w:rPr>
          <w:rFonts w:ascii="Arial" w:eastAsia="Times New Roman" w:hAnsi="Arial" w:cs="Arial"/>
          <w:b/>
          <w:bCs/>
          <w:sz w:val="20"/>
          <w:szCs w:val="20"/>
          <w:lang w:eastAsia="es-ES"/>
        </w:rPr>
        <w:t>Cuadro de cuentas</w:t>
      </w:r>
      <w:r w:rsidRPr="00E72C63">
        <w:rPr>
          <w:rFonts w:ascii="Arial" w:eastAsia="Times New Roman" w:hAnsi="Arial" w:cs="Arial"/>
          <w:sz w:val="20"/>
          <w:szCs w:val="20"/>
          <w:lang w:eastAsia="es-ES"/>
        </w:rPr>
        <w:t>, recoge un listado de todas las cuentas cuya utilización está prevista en el PGC, debidamente agrupadas y subdivididas.</w:t>
      </w:r>
    </w:p>
    <w:p w:rsidR="00E72C63" w:rsidRPr="00E72C63" w:rsidRDefault="00E72C63" w:rsidP="002762E3">
      <w:pPr>
        <w:spacing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Los Grupos en que se dividen las cuentas en el Plan General Contable son los siguientes: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Financiación básica</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Inmovilizado</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Existencias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Acreedores y deudores por operaciones comerciales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Cuentas financieras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Compras y gastos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Ventas e ingresos</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Gastos imputados a patrimonio</w:t>
      </w:r>
    </w:p>
    <w:p w:rsidR="00E72C63" w:rsidRPr="00E72C63" w:rsidRDefault="00E72C63" w:rsidP="002762E3">
      <w:pPr>
        <w:numPr>
          <w:ilvl w:val="0"/>
          <w:numId w:val="1"/>
        </w:numPr>
        <w:spacing w:before="100" w:beforeAutospacing="1" w:after="157" w:line="360" w:lineRule="auto"/>
        <w:jc w:val="both"/>
        <w:rPr>
          <w:rFonts w:ascii="Arial" w:eastAsia="Times New Roman" w:hAnsi="Arial" w:cs="Arial"/>
          <w:sz w:val="20"/>
          <w:szCs w:val="20"/>
          <w:lang w:eastAsia="es-ES"/>
        </w:rPr>
      </w:pPr>
      <w:r w:rsidRPr="00E72C63">
        <w:rPr>
          <w:rFonts w:ascii="Arial" w:eastAsia="Times New Roman" w:hAnsi="Arial" w:cs="Arial"/>
          <w:sz w:val="20"/>
          <w:szCs w:val="20"/>
          <w:lang w:eastAsia="es-ES"/>
        </w:rPr>
        <w:t>Ingresos imputados a patrimonio</w:t>
      </w:r>
    </w:p>
    <w:p w:rsidR="00E72C63" w:rsidRPr="000266EA" w:rsidRDefault="00E72C63" w:rsidP="002762E3">
      <w:pPr>
        <w:spacing w:line="360" w:lineRule="auto"/>
        <w:jc w:val="both"/>
        <w:rPr>
          <w:rFonts w:ascii="Arial" w:hAnsi="Arial" w:cs="Arial"/>
          <w:sz w:val="20"/>
          <w:szCs w:val="20"/>
        </w:rPr>
      </w:pPr>
    </w:p>
    <w:p w:rsidR="00E72C63" w:rsidRPr="00E72C63" w:rsidRDefault="00E72C63" w:rsidP="002762E3">
      <w:pPr>
        <w:spacing w:before="100" w:beforeAutospacing="1" w:after="100" w:afterAutospacing="1"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xml:space="preserve">3º. </w:t>
      </w:r>
      <w:r w:rsidRPr="00E72C63">
        <w:rPr>
          <w:rFonts w:ascii="Arial" w:eastAsia="Times New Roman" w:hAnsi="Arial" w:cs="Arial"/>
          <w:sz w:val="20"/>
          <w:szCs w:val="20"/>
          <w:lang w:eastAsia="es-ES"/>
        </w:rPr>
        <w:t xml:space="preserve">La tercera parte, </w:t>
      </w:r>
      <w:r w:rsidRPr="00E72C63">
        <w:rPr>
          <w:rFonts w:ascii="Arial" w:eastAsia="Times New Roman" w:hAnsi="Arial" w:cs="Arial"/>
          <w:b/>
          <w:bCs/>
          <w:sz w:val="20"/>
          <w:szCs w:val="20"/>
          <w:lang w:eastAsia="es-ES"/>
        </w:rPr>
        <w:t>Definiciones y relaciones contables</w:t>
      </w:r>
      <w:r w:rsidRPr="00E72C63">
        <w:rPr>
          <w:rFonts w:ascii="Arial" w:eastAsia="Times New Roman" w:hAnsi="Arial" w:cs="Arial"/>
          <w:sz w:val="20"/>
          <w:szCs w:val="20"/>
          <w:lang w:eastAsia="es-ES"/>
        </w:rPr>
        <w:t>, contiene una explicación del contenido de los grupos y subgrupos, así como del contenido y funcionamiento de algunas cuentas.</w:t>
      </w:r>
    </w:p>
    <w:p w:rsidR="00E72C63" w:rsidRPr="00E72C63" w:rsidRDefault="00E72C63" w:rsidP="002762E3">
      <w:pPr>
        <w:spacing w:before="100" w:beforeAutospacing="1" w:after="100" w:afterAutospacing="1"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t xml:space="preserve">4º. </w:t>
      </w:r>
      <w:r w:rsidRPr="00E72C63">
        <w:rPr>
          <w:rFonts w:ascii="Arial" w:eastAsia="Times New Roman" w:hAnsi="Arial" w:cs="Arial"/>
          <w:sz w:val="20"/>
          <w:szCs w:val="20"/>
          <w:lang w:eastAsia="es-ES"/>
        </w:rPr>
        <w:t xml:space="preserve">La cuarta parte, </w:t>
      </w:r>
      <w:r w:rsidRPr="00E72C63">
        <w:rPr>
          <w:rFonts w:ascii="Arial" w:eastAsia="Times New Roman" w:hAnsi="Arial" w:cs="Arial"/>
          <w:b/>
          <w:bCs/>
          <w:sz w:val="20"/>
          <w:szCs w:val="20"/>
          <w:lang w:eastAsia="es-ES"/>
        </w:rPr>
        <w:t>Cuentas anuales</w:t>
      </w:r>
      <w:r w:rsidRPr="00E72C63">
        <w:rPr>
          <w:rFonts w:ascii="Arial" w:eastAsia="Times New Roman" w:hAnsi="Arial" w:cs="Arial"/>
          <w:sz w:val="20"/>
          <w:szCs w:val="20"/>
          <w:lang w:eastAsia="es-ES"/>
        </w:rPr>
        <w:t>, presenta los estados financieros que han de elaborarse y suministrarse por la empresa a los usuarios de la información. Los tres estados previstos por el PGC son tres: Balance, Cuenta de Pérdidas y Ganancias y Memoria.</w:t>
      </w:r>
    </w:p>
    <w:p w:rsidR="00E72C63" w:rsidRPr="000266EA" w:rsidRDefault="00E72C63" w:rsidP="002762E3">
      <w:pPr>
        <w:spacing w:before="100" w:beforeAutospacing="1" w:after="100" w:afterAutospacing="1" w:line="360" w:lineRule="auto"/>
        <w:jc w:val="both"/>
        <w:rPr>
          <w:rFonts w:ascii="Arial" w:eastAsia="Times New Roman" w:hAnsi="Arial" w:cs="Arial"/>
          <w:sz w:val="20"/>
          <w:szCs w:val="20"/>
          <w:lang w:eastAsia="es-ES"/>
        </w:rPr>
      </w:pPr>
      <w:r w:rsidRPr="00E72C63">
        <w:rPr>
          <w:rFonts w:ascii="Arial" w:eastAsia="Times New Roman" w:hAnsi="Arial" w:cs="Arial"/>
          <w:b/>
          <w:bCs/>
          <w:sz w:val="20"/>
          <w:szCs w:val="20"/>
          <w:lang w:eastAsia="es-ES"/>
        </w:rPr>
        <w:lastRenderedPageBreak/>
        <w:t xml:space="preserve">5º. </w:t>
      </w:r>
      <w:r w:rsidRPr="00E72C63">
        <w:rPr>
          <w:rFonts w:ascii="Arial" w:eastAsia="Times New Roman" w:hAnsi="Arial" w:cs="Arial"/>
          <w:sz w:val="20"/>
          <w:szCs w:val="20"/>
          <w:lang w:eastAsia="es-ES"/>
        </w:rPr>
        <w:t xml:space="preserve">La quinta parte, </w:t>
      </w:r>
      <w:r w:rsidRPr="00E72C63">
        <w:rPr>
          <w:rFonts w:ascii="Arial" w:eastAsia="Times New Roman" w:hAnsi="Arial" w:cs="Arial"/>
          <w:b/>
          <w:bCs/>
          <w:sz w:val="20"/>
          <w:szCs w:val="20"/>
          <w:lang w:eastAsia="es-ES"/>
        </w:rPr>
        <w:t>Normas de Valoración</w:t>
      </w:r>
      <w:r w:rsidRPr="00E72C63">
        <w:rPr>
          <w:rFonts w:ascii="Arial" w:eastAsia="Times New Roman" w:hAnsi="Arial" w:cs="Arial"/>
          <w:sz w:val="20"/>
          <w:szCs w:val="20"/>
          <w:lang w:eastAsia="es-ES"/>
        </w:rPr>
        <w:t>, reúne un conjunto de criterios y normas que constituyen el desarrollo de los principios contables contenidos en la primera parte del PGC</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23"/>
          <w:rFonts w:ascii="Arial" w:hAnsi="Arial" w:cs="Arial"/>
          <w:b/>
          <w:bCs/>
          <w:sz w:val="20"/>
          <w:szCs w:val="20"/>
          <w:bdr w:val="none" w:sz="0" w:space="0" w:color="auto" w:frame="1"/>
        </w:rPr>
        <w:t xml:space="preserve">Las Normas de valoración se refieren a los siguientes elementos: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Fonts w:ascii="Arial" w:hAnsi="Arial" w:cs="Arial"/>
          <w:sz w:val="20"/>
          <w:szCs w:val="20"/>
          <w:bdr w:val="none" w:sz="0" w:space="0" w:color="auto" w:frame="1"/>
        </w:rPr>
        <w:br/>
      </w:r>
      <w:r w:rsidRPr="000266EA">
        <w:rPr>
          <w:rStyle w:val="rvts11"/>
          <w:rFonts w:ascii="Arial" w:hAnsi="Arial" w:cs="Arial"/>
          <w:sz w:val="20"/>
          <w:szCs w:val="20"/>
          <w:bdr w:val="none" w:sz="0" w:space="0" w:color="auto" w:frame="1"/>
        </w:rPr>
        <w:t xml:space="preserve">1. Desarrollo del Marco Conceptual de la Contabilidad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2. Inmovilizado material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3. Normas particulares sobre inmovilizado material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4. Inversiones inmobiliarias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5. Inmovilizado intangible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6. Normas particulares sobre el inmovilizado intangible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7. Activos no corrientes y grupos enajenables de elementos, mantenidos para la venta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8. Arrendamientos y otras operaciones de naturaleza similar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9. Instrumentos financieros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10. Existencias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11. Moneda extranjera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12. Impuesto sobre el Valor Añadido (IVA), Impuesto General Indirecto Canario (IGIC) y otros Impuestos indirectos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13. Impuestos sobre beneficios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14. Ingresos por ventas y prestación de servicios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15. Provisiones y contingencias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16. Pasivos por retribuciones a largo plazo al personal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17. Transacciones con pagos basados en instrumentos de patrimonio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18. Subvenciones, donaciones y legados recibidos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19. Combinaciones de negocios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20. Negocios conjuntos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21. Operaciones entre empresas del grupo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 xml:space="preserve">22. Cambios en criterios contables, errores y estimaciones contables </w:t>
      </w:r>
    </w:p>
    <w:p w:rsidR="000266EA" w:rsidRPr="000266EA" w:rsidRDefault="000266EA" w:rsidP="002762E3">
      <w:pPr>
        <w:pStyle w:val="rvps4"/>
        <w:spacing w:before="0" w:beforeAutospacing="0" w:after="0" w:afterAutospacing="0" w:line="360" w:lineRule="auto"/>
        <w:jc w:val="both"/>
        <w:textAlignment w:val="baseline"/>
        <w:rPr>
          <w:rFonts w:ascii="Arial" w:hAnsi="Arial" w:cs="Arial"/>
          <w:sz w:val="20"/>
          <w:szCs w:val="20"/>
        </w:rPr>
      </w:pPr>
      <w:r w:rsidRPr="000266EA">
        <w:rPr>
          <w:rStyle w:val="rvts11"/>
          <w:rFonts w:ascii="Arial" w:hAnsi="Arial" w:cs="Arial"/>
          <w:sz w:val="20"/>
          <w:szCs w:val="20"/>
          <w:bdr w:val="none" w:sz="0" w:space="0" w:color="auto" w:frame="1"/>
        </w:rPr>
        <w:t>23. Hechos posteriores al cierre del ejercicio</w:t>
      </w:r>
    </w:p>
    <w:p w:rsidR="000266EA" w:rsidRPr="00E72C63" w:rsidRDefault="000266EA" w:rsidP="000266EA">
      <w:pPr>
        <w:spacing w:before="100" w:beforeAutospacing="1" w:after="100" w:afterAutospacing="1" w:line="240" w:lineRule="auto"/>
        <w:jc w:val="both"/>
        <w:rPr>
          <w:rFonts w:ascii="Times New Roman" w:eastAsia="Times New Roman" w:hAnsi="Times New Roman" w:cs="Times New Roman"/>
          <w:sz w:val="25"/>
          <w:szCs w:val="25"/>
          <w:lang w:eastAsia="es-ES"/>
        </w:rPr>
      </w:pPr>
    </w:p>
    <w:sectPr w:rsidR="000266EA" w:rsidRPr="00E72C63" w:rsidSect="003824C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043" w:rsidRDefault="00896043" w:rsidP="00435902">
      <w:pPr>
        <w:spacing w:after="0" w:line="240" w:lineRule="auto"/>
      </w:pPr>
      <w:r>
        <w:separator/>
      </w:r>
    </w:p>
  </w:endnote>
  <w:endnote w:type="continuationSeparator" w:id="0">
    <w:p w:rsidR="00896043" w:rsidRDefault="00896043" w:rsidP="00435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902" w:rsidRDefault="0043590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3736"/>
      <w:docPartObj>
        <w:docPartGallery w:val="Page Numbers (Bottom of Page)"/>
        <w:docPartUnique/>
      </w:docPartObj>
    </w:sdtPr>
    <w:sdtContent>
      <w:p w:rsidR="00435902" w:rsidRDefault="00435902">
        <w:pPr>
          <w:pStyle w:val="Piedepgina"/>
          <w:jc w:val="right"/>
        </w:pPr>
        <w:fldSimple w:instr=" PAGE   \* MERGEFORMAT ">
          <w:r>
            <w:rPr>
              <w:noProof/>
            </w:rPr>
            <w:t>1</w:t>
          </w:r>
        </w:fldSimple>
      </w:p>
    </w:sdtContent>
  </w:sdt>
  <w:p w:rsidR="00435902" w:rsidRDefault="0043590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902" w:rsidRDefault="004359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043" w:rsidRDefault="00896043" w:rsidP="00435902">
      <w:pPr>
        <w:spacing w:after="0" w:line="240" w:lineRule="auto"/>
      </w:pPr>
      <w:r>
        <w:separator/>
      </w:r>
    </w:p>
  </w:footnote>
  <w:footnote w:type="continuationSeparator" w:id="0">
    <w:p w:rsidR="00896043" w:rsidRDefault="00896043" w:rsidP="004359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902" w:rsidRDefault="0043590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BA4FC140444340C98785D46A65F29B23"/>
      </w:placeholder>
      <w:temporary/>
      <w:showingPlcHdr/>
    </w:sdtPr>
    <w:sdtContent>
      <w:p w:rsidR="00435902" w:rsidRDefault="00435902">
        <w:pPr>
          <w:pStyle w:val="Encabezado"/>
        </w:pPr>
        <w:r>
          <w:t>[Escribir texto]</w:t>
        </w:r>
      </w:p>
    </w:sdtContent>
  </w:sdt>
  <w:p w:rsidR="00435902" w:rsidRDefault="00435902">
    <w:pPr>
      <w:pStyle w:val="Encabezado"/>
    </w:pPr>
    <w:r w:rsidRPr="00435902">
      <w:drawing>
        <wp:anchor distT="0" distB="0" distL="114300" distR="114300" simplePos="0" relativeHeight="251659264" behindDoc="0" locked="0" layoutInCell="1" allowOverlap="1">
          <wp:simplePos x="0" y="0"/>
          <wp:positionH relativeFrom="column">
            <wp:posOffset>-1061085</wp:posOffset>
          </wp:positionH>
          <wp:positionV relativeFrom="paragraph">
            <wp:posOffset>-25309</wp:posOffset>
          </wp:positionV>
          <wp:extent cx="7784556" cy="391885"/>
          <wp:effectExtent l="1905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786370" cy="38862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902" w:rsidRDefault="004359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80419"/>
    <w:multiLevelType w:val="multilevel"/>
    <w:tmpl w:val="C16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7C7A7A"/>
    <w:multiLevelType w:val="multilevel"/>
    <w:tmpl w:val="EF86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BD115C"/>
    <w:multiLevelType w:val="hybridMultilevel"/>
    <w:tmpl w:val="C53E7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1."/>
        <w:lvlJc w:val="left"/>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footnotePr>
    <w:footnote w:id="-1"/>
    <w:footnote w:id="0"/>
  </w:footnotePr>
  <w:endnotePr>
    <w:endnote w:id="-1"/>
    <w:endnote w:id="0"/>
  </w:endnotePr>
  <w:compat/>
  <w:rsids>
    <w:rsidRoot w:val="00E72C63"/>
    <w:rsid w:val="000266EA"/>
    <w:rsid w:val="002762E3"/>
    <w:rsid w:val="003824CB"/>
    <w:rsid w:val="00393D7F"/>
    <w:rsid w:val="003D71B0"/>
    <w:rsid w:val="00435902"/>
    <w:rsid w:val="00657B21"/>
    <w:rsid w:val="00896043"/>
    <w:rsid w:val="00956953"/>
    <w:rsid w:val="00DF2155"/>
    <w:rsid w:val="00E72C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4CB"/>
  </w:style>
  <w:style w:type="paragraph" w:styleId="Ttulo2">
    <w:name w:val="heading 2"/>
    <w:basedOn w:val="Normal"/>
    <w:link w:val="Ttulo2Car"/>
    <w:uiPriority w:val="9"/>
    <w:qFormat/>
    <w:rsid w:val="00E72C6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C63"/>
    <w:rPr>
      <w:rFonts w:ascii="Times New Roman" w:eastAsia="Times New Roman" w:hAnsi="Times New Roman" w:cs="Times New Roman"/>
      <w:b/>
      <w:bCs/>
      <w:sz w:val="36"/>
      <w:szCs w:val="36"/>
      <w:lang w:eastAsia="es-ES"/>
    </w:rPr>
  </w:style>
  <w:style w:type="character" w:customStyle="1" w:styleId="ez-toc-section">
    <w:name w:val="ez-toc-section"/>
    <w:basedOn w:val="Fuentedeprrafopredeter"/>
    <w:rsid w:val="00E72C63"/>
  </w:style>
  <w:style w:type="paragraph" w:styleId="NormalWeb">
    <w:name w:val="Normal (Web)"/>
    <w:basedOn w:val="Normal"/>
    <w:uiPriority w:val="99"/>
    <w:semiHidden/>
    <w:unhideWhenUsed/>
    <w:rsid w:val="00E72C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72C63"/>
    <w:rPr>
      <w:b/>
      <w:bCs/>
    </w:rPr>
  </w:style>
  <w:style w:type="paragraph" w:customStyle="1" w:styleId="rvps4">
    <w:name w:val="rvps4"/>
    <w:basedOn w:val="Normal"/>
    <w:rsid w:val="000266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vts23">
    <w:name w:val="rvts23"/>
    <w:basedOn w:val="Fuentedeprrafopredeter"/>
    <w:rsid w:val="000266EA"/>
  </w:style>
  <w:style w:type="character" w:customStyle="1" w:styleId="rvts11">
    <w:name w:val="rvts11"/>
    <w:basedOn w:val="Fuentedeprrafopredeter"/>
    <w:rsid w:val="000266EA"/>
  </w:style>
  <w:style w:type="paragraph" w:styleId="Prrafodelista">
    <w:name w:val="List Paragraph"/>
    <w:basedOn w:val="Normal"/>
    <w:uiPriority w:val="34"/>
    <w:qFormat/>
    <w:rsid w:val="00956953"/>
    <w:pPr>
      <w:ind w:left="720"/>
      <w:contextualSpacing/>
    </w:pPr>
  </w:style>
  <w:style w:type="paragraph" w:styleId="Encabezado">
    <w:name w:val="header"/>
    <w:basedOn w:val="Normal"/>
    <w:link w:val="EncabezadoCar"/>
    <w:uiPriority w:val="99"/>
    <w:unhideWhenUsed/>
    <w:rsid w:val="004359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5902"/>
  </w:style>
  <w:style w:type="paragraph" w:styleId="Piedepgina">
    <w:name w:val="footer"/>
    <w:basedOn w:val="Normal"/>
    <w:link w:val="PiedepginaCar"/>
    <w:uiPriority w:val="99"/>
    <w:unhideWhenUsed/>
    <w:rsid w:val="004359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5902"/>
  </w:style>
  <w:style w:type="paragraph" w:styleId="Textodeglobo">
    <w:name w:val="Balloon Text"/>
    <w:basedOn w:val="Normal"/>
    <w:link w:val="TextodegloboCar"/>
    <w:uiPriority w:val="99"/>
    <w:semiHidden/>
    <w:unhideWhenUsed/>
    <w:rsid w:val="004359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59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2591015">
      <w:bodyDiv w:val="1"/>
      <w:marLeft w:val="0"/>
      <w:marRight w:val="0"/>
      <w:marTop w:val="0"/>
      <w:marBottom w:val="0"/>
      <w:divBdr>
        <w:top w:val="none" w:sz="0" w:space="0" w:color="auto"/>
        <w:left w:val="none" w:sz="0" w:space="0" w:color="auto"/>
        <w:bottom w:val="none" w:sz="0" w:space="0" w:color="auto"/>
        <w:right w:val="none" w:sz="0" w:space="0" w:color="auto"/>
      </w:divBdr>
    </w:div>
    <w:div w:id="989209437">
      <w:bodyDiv w:val="1"/>
      <w:marLeft w:val="0"/>
      <w:marRight w:val="0"/>
      <w:marTop w:val="0"/>
      <w:marBottom w:val="0"/>
      <w:divBdr>
        <w:top w:val="none" w:sz="0" w:space="0" w:color="auto"/>
        <w:left w:val="none" w:sz="0" w:space="0" w:color="auto"/>
        <w:bottom w:val="none" w:sz="0" w:space="0" w:color="auto"/>
        <w:right w:val="none" w:sz="0" w:space="0" w:color="auto"/>
      </w:divBdr>
    </w:div>
    <w:div w:id="1597057958">
      <w:bodyDiv w:val="1"/>
      <w:marLeft w:val="0"/>
      <w:marRight w:val="0"/>
      <w:marTop w:val="0"/>
      <w:marBottom w:val="0"/>
      <w:divBdr>
        <w:top w:val="none" w:sz="0" w:space="0" w:color="auto"/>
        <w:left w:val="none" w:sz="0" w:space="0" w:color="auto"/>
        <w:bottom w:val="none" w:sz="0" w:space="0" w:color="auto"/>
        <w:right w:val="none" w:sz="0" w:space="0" w:color="auto"/>
      </w:divBdr>
    </w:div>
    <w:div w:id="1938439016">
      <w:bodyDiv w:val="1"/>
      <w:marLeft w:val="0"/>
      <w:marRight w:val="0"/>
      <w:marTop w:val="0"/>
      <w:marBottom w:val="0"/>
      <w:divBdr>
        <w:top w:val="none" w:sz="0" w:space="0" w:color="auto"/>
        <w:left w:val="none" w:sz="0" w:space="0" w:color="auto"/>
        <w:bottom w:val="none" w:sz="0" w:space="0" w:color="auto"/>
        <w:right w:val="none" w:sz="0" w:space="0" w:color="auto"/>
      </w:divBdr>
    </w:div>
    <w:div w:id="2058241818">
      <w:bodyDiv w:val="1"/>
      <w:marLeft w:val="0"/>
      <w:marRight w:val="0"/>
      <w:marTop w:val="0"/>
      <w:marBottom w:val="0"/>
      <w:divBdr>
        <w:top w:val="none" w:sz="0" w:space="0" w:color="auto"/>
        <w:left w:val="none" w:sz="0" w:space="0" w:color="auto"/>
        <w:bottom w:val="none" w:sz="0" w:space="0" w:color="auto"/>
        <w:right w:val="none" w:sz="0" w:space="0" w:color="auto"/>
      </w:divBdr>
      <w:divsChild>
        <w:div w:id="97649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847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4FC140444340C98785D46A65F29B23"/>
        <w:category>
          <w:name w:val="General"/>
          <w:gallery w:val="placeholder"/>
        </w:category>
        <w:types>
          <w:type w:val="bbPlcHdr"/>
        </w:types>
        <w:behaviors>
          <w:behavior w:val="content"/>
        </w:behaviors>
        <w:guid w:val="{8DF354BB-60AA-42AD-961E-E90047AC212B}"/>
      </w:docPartPr>
      <w:docPartBody>
        <w:p w:rsidR="00000000" w:rsidRDefault="00034C7C" w:rsidP="00034C7C">
          <w:pPr>
            <w:pStyle w:val="BA4FC140444340C98785D46A65F29B23"/>
          </w:pPr>
          <w:r>
            <w:t>[Escribir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034C7C"/>
    <w:rsid w:val="00034C7C"/>
    <w:rsid w:val="006977B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4FC140444340C98785D46A65F29B23">
    <w:name w:val="BA4FC140444340C98785D46A65F29B23"/>
    <w:rsid w:val="00034C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758</Words>
  <Characters>4175</Characters>
  <Application>Microsoft Office Word</Application>
  <DocSecurity>0</DocSecurity>
  <Lines>34</Lines>
  <Paragraphs>9</Paragraphs>
  <ScaleCrop>false</ScaleCrop>
  <Company>Hewlett-Packard</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Iván</cp:lastModifiedBy>
  <cp:revision>9</cp:revision>
  <dcterms:created xsi:type="dcterms:W3CDTF">2019-11-24T19:08:00Z</dcterms:created>
  <dcterms:modified xsi:type="dcterms:W3CDTF">2019-11-24T21:12:00Z</dcterms:modified>
</cp:coreProperties>
</file>