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Executive summary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T-EXEC@1.0.0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Opportunity</w:t>
      </w:r>
    </w:p>
    <w:p>
      <w:r>
        <w:t>[[MISSING: enquiry brief]]</w:t>
      </w:r>
    </w:p>
    <w:p>
      <w:pPr>
        <w:pStyle w:val="Heading1"/>
      </w:pPr>
      <w:r>
        <w:t>Offer in figures</w:t>
      </w:r>
    </w:p>
    <w:p>
      <w:r>
        <w:t>Net price before VAT SAR -; VAT SAR -; payable SAR -. Direct cost SAR 0.00; indirect SAR 0.00; total cost SAR -.</w:t>
      </w:r>
    </w:p>
    <w:p>
      <w:pPr>
        <w:pStyle w:val="Heading1"/>
      </w:pPr>
      <w:r>
        <w:t>Programme</w:t>
      </w:r>
    </w:p>
    <w:p>
      <w:r>
        <w:t>[[MISSING: programme baseline]]</w:t>
      </w:r>
    </w:p>
    <w:p>
      <w:pPr>
        <w:pStyle w:val="Heading1"/>
      </w:pPr>
      <w:r>
        <w:t>Estimate state</w:t>
      </w:r>
    </w:p>
    <w:p>
      <w:r>
        <w:t>Estimate state: Preliminary — Incomplete. Open material queries: 40.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PRJ-9201-D02 | Executive summary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