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Scope of work and scope boundary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PRJ-9201-D04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Scope of work and scope boundary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T-SCOPE@1.0.0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Scope summary</w:t>
      </w:r>
    </w:p>
    <w:p>
      <w:r>
        <w:t>[[MISSING: scope summary]]</w:t>
      </w:r>
    </w:p>
    <w:p>
      <w:pPr>
        <w:pStyle w:val="Heading1"/>
      </w:pPr>
      <w:r>
        <w:t>BOQ items by trade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Trade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BOQ items</w:t>
            </w:r>
          </w:p>
        </w:tc>
      </w:tr>
      <w:tr>
        <w:tc>
          <w:tcPr>
            <w:tcW w:type="dxa" w:w="4320"/>
          </w:tcPr>
          <w:p>
            <w:r>
              <w:t>Architectural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Architectural / structural (not stated)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Civil / earthwork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Structural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</w:tbl>
    <w:p>
      <w:pPr>
        <w:pStyle w:val="Heading1"/>
      </w:pPr>
      <w:r>
        <w:t>Scope register (inclusions, exclusions, assumptions)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none registered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v1 (fingerprint 400c9f6df7ae5579),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PRJ-9201-D04 | Scope of work and scope boundary | Rev 1 | BLOCKED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Scope of work and scope boundary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