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Assumptions register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PRJ-9201-D08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Assumptions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T-ASSUMPTIONS@1.0.0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Status</w:t>
      </w:r>
    </w:p>
    <w:p>
      <w:r>
        <w:t>Classification counts: {"Pending human review": 4, "Missing data": 81}.</w:t>
      </w:r>
    </w:p>
    <w:p>
      <w:r>
        <w:t>NOT fully verified: ASMP-A-001: Missing data (mandatory); ASMP-A-002: Missing data (mandatory); ASMP-A-003: Missing data (mandatory); ASMP-A-004: Missing data (mandatory); ASMP-A-005: Missing data (mandatory); ASMP-A-006: Missing data (mandatory); ASMP-A-008: Missing data (mandatory); ASMP-A-009: Missing data (mandatory); ASMP-A-011: Missing data (mandatory); ASMP-A-012: Missing data (mandatory); ASMP-A-014: Missing data (mandatory); ASMP-A-017: Missing data (mandatory)</w:t>
      </w:r>
    </w:p>
    <w:p>
      <w:pPr>
        <w:pStyle w:val="Heading1"/>
      </w:pPr>
      <w:r>
        <w:t>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Assumption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Data class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Mandatory</w:t>
            </w:r>
          </w:p>
        </w:tc>
      </w:tr>
      <w:tr>
        <w:tc>
          <w:tcPr>
            <w:tcW w:type="dxa" w:w="960"/>
          </w:tcPr>
          <w:p>
            <w:r>
              <w:t>ASMP-A-001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Design stage of estimate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ASMP-A-002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Drawing register and revision baseline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ASMP-A-003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Specification and BOQ revision baseline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ASMP-A-004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Date of design information cut-off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ASMP-A-005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inclusions statement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ASMP-A-006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exclusions statement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ASMP-A-008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boundary - enabling and early works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ASMP-A-009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boundary - off-site and utility authority works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Applicable codes and standards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ASMP-A-012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Authority requirements affecting scope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ASMP-A-014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Design responsibility allocation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ASMP-A-017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Interface with other trades and packages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ASMP-A-021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Construction duration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ASMP-B-001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Measurement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ASMP-B-002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source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ASMP-B-003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status and completeness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ASMP-B-004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rounding for display and reporting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ASMP-B-006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Unit conversion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ASMP-B-014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Imported quantity validation rules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ASMP-B-015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Imported quantity unit mapping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ASMP-B-016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revision difference handling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ASMP-B-019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Gross floor area and area definitions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ASMP-C-001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Material consumption factor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ASMP-C-002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Wastage inclusion convention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ASMP-C-026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Material price validity period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ASMP-C-031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Material rate basis - delivered or ex-works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ASMP-D-001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Paid hours per shift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ASMP-D-002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Productive hours per shift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ASMP-D-003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days per week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ASMP-D-004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days per month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ASMP-D-005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hours per day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ASMP-D-006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calendar and public holidays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ASMP-D-012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Crew composition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ASMP-D-014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Labour rate basis - direct vs subcontract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ASMP-D-015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Labour on-cost components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ASMP-E-002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Plant hire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ASMP-E-003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Plant utilisation percentage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percent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ASMP-F-001</w:t>
            </w:r>
          </w:p>
        </w:tc>
        <w:tc>
          <w:tcPr>
            <w:tcW w:type="dxa" w:w="960"/>
          </w:tcPr>
          <w:p>
            <w:r>
              <w:t>Logistics, transport and landed cost</w:t>
            </w:r>
          </w:p>
        </w:tc>
        <w:tc>
          <w:tcPr>
            <w:tcW w:type="dxa" w:w="960"/>
          </w:tcPr>
          <w:p>
            <w:r>
              <w:t>Delivery distance and haul route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km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ASMP-F-002</w:t>
            </w:r>
          </w:p>
        </w:tc>
        <w:tc>
          <w:tcPr>
            <w:tcW w:type="dxa" w:w="960"/>
          </w:tcPr>
          <w:p>
            <w:r>
              <w:t>Logistics, transport and landed cost</w:t>
            </w:r>
          </w:p>
        </w:tc>
        <w:tc>
          <w:tcPr>
            <w:tcW w:type="dxa" w:w="960"/>
          </w:tcPr>
          <w:p>
            <w:r>
              <w:t>Freight cost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ASMP-G-001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Project region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ASMP-G-002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Regional cost adjustment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ASMP-G-004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Site access conditions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ASMP-H-001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Indirect cost allocation method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ASMP-H-002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Project duration for indirects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ASMP-H-003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Project management staff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ASMP-H-004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Construction management staff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ASMP-H-006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Head office overhead allocation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ASMP-H-018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HSE management and personnel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ASMP-H-026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Project insurance - contractor's all-risk and third-party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ASMP-H-029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Permits, licences and authority fees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ASMP-I-001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Commercial pricing method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ASMP-I-006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Contingency base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ASMP-I-010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Escalation base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ASMP-I-015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Foreign exchange rates and date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ASMP-I-016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Estimate currency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ASMP-I-017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Monetary rounding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ASMP-I-024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Warranty and defects liability period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ASMP-I-026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Payment terms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ASMP-I-030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Tender validity period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ASMP-I-031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Estimate base date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ASMP-I-032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Contract form and risk allocation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ASMP-J-001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Default tax category</w:t>
            </w:r>
          </w:p>
        </w:tc>
        <w:tc>
          <w:tcPr>
            <w:tcW w:type="dxa" w:w="960"/>
          </w:tcPr>
          <w:p>
            <w:r>
              <w:t>VAT-STD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ASMP-J-002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Tax basis of the estimate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ASMP-J-003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Applicable tax categories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ASMP-J-005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Tax rate effective date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ASMP-J-006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Date-sensitive tax rate verification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ASMP-J-007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Input tax recoverability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ASMP-J-008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Pre-tax cost definition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ASMP-J-009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Output tax treatment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ASMP-J-010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Final payable amount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ASMP-J-016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Tax treatment of subcontractor invoices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ASMP-K-001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Inspection and test plan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ASMP-K-003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Authority witnessing and approvals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ASMP-K-012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Operation and maintenance manuals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ASMP-K-013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As-built drawings and BIM handover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ASMP-K-016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Warranty and handover obligations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ASMP-K-019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Statutory certificates for occupancy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ASMP-L-001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Rate source confidence rule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ASMP-L-002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Rate age warning threshold</w:t>
            </w:r>
          </w:p>
        </w:tc>
        <w:tc>
          <w:tcPr>
            <w:tcW w:type="dxa" w:w="960"/>
          </w:tcPr>
          <w:p>
            <w:r>
              <w:t>180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ASMP-L-004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Design maturity assessment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ASMP-L-005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Quantity completeness assessment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ASMP-L-010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Unresolved mandatory assumptions blocking issue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ASMP-L-014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Overall estimate confidence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ASMP-L-016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Confidence of defaults and unverified data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ASMP-L-019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Estimator review and approval status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An estimate never appears fully verified while a material assumption is missing, synthetic, unverified or pending review.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PRJ-9201-D08 | Assumptions register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Assumptions register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