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and long-lead schedule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Procurement and long-lead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T-PROCUREMENT@1.0.0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Long-lead items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as_of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</w:pPr>
      <w:r>
        <w:t>Procurement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RFQ register (drafts are prepared here; nothing is sent by the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RFQ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Response deadline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Issued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Subcontract and package strategy</w:t>
      </w:r>
    </w:p>
    <w:p>
      <w:r>
        <w:t>[[MISSING: procurement strategy]]</w:t>
      </w:r>
    </w:p>
    <w:p>
      <w:pPr>
        <w:pStyle w:val="Heading1"/>
      </w:pPr>
      <w:r>
        <w:t>Supplier qualification status</w:t>
      </w:r>
    </w:p>
    <w:p>
      <w:r>
        <w:t>[[MISSING: supplier qualification status]]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Synthetic quotations are test inputs and never live supplier quotations.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PRJ-9201-D22 | Procurement and long-lead schedule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and long-lead schedule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