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Missing-rate and procurement report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PRJ-9201-D36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Missing-rate and procurement report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Preliminary (DEMONSTRATION)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T-MISSING-RATES@1.0.0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Unpriced schedule lines (never carried as zero)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Procurement needs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Exposure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Closed</w:t>
            </w:r>
          </w:p>
        </w:tc>
      </w:tr>
      <w:tr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Resolved exceptions from the estimate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Message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2.10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6.1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7.1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POLICY_MISSING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No commercial policy assigned to the project.</w:t>
            </w:r>
          </w:p>
        </w:tc>
      </w:tr>
    </w:tbl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Heading1"/>
      </w:pPr>
      <w:r>
        <w:t>Source references</w:t>
      </w:r>
    </w:p>
    <w:p>
      <w:pPr>
        <w:pStyle w:val="ListBullet"/>
      </w:pPr>
      <w:r>
        <w:t>Frozen estimate version v1 (fingerprint 400c9f6df7ae5579), totals and pricing schedule</w:t>
      </w:r>
    </w:p>
    <w:p>
      <w:pPr>
        <w:pStyle w:val="ListBullet"/>
      </w:pPr>
      <w:r>
        <w:t>Registers in the application database (see document D33 for received documents, D08 for assumptions, D25 for queries)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PRJ-9201-D36 | Missing-rate and procurement report | Rev 1 | Preliminary (DEMONSTRATION)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Missing-rate and procurement report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