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Approved assumptions and exclusions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Approved assumptions and exclusions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H-ASSUMPTIONS@1.0.0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Status</w:t>
      </w:r>
    </w:p>
    <w:p>
      <w:r>
        <w:t>Classification counts: {"Pending human review": 4, "Explicitly synthetic test data": 6, "Missing data": 81}.</w:t>
      </w:r>
    </w:p>
    <w:p>
      <w:r>
        <w:t>NOT fully verified: ASMP-A-001: Missing data (mandatory); ASMP-A-002: Missing data (mandatory); ASMP-A-003: Missing data (mandatory); ASMP-A-004: Missing data (mandatory); ASMP-A-005: Missing data (mandatory); ASMP-A-006: Missing data (mandatory); ASMP-A-008: Missing data (mandatory); ASMP-A-009: Missing data (mandatory); ASMP-A-011: Missing data (mandatory); ASMP-A-012: Missing data (mandatory); ASMP-A-014: Missing data (mandatory); ASMP-A-017: Missing data (mandatory)</w:t>
      </w:r>
    </w:p>
    <w:p>
      <w:pPr>
        <w:pStyle w:val="Heading1"/>
      </w:pPr>
      <w:r>
        <w:t>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Assumption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Data class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Mandatory</w:t>
            </w:r>
          </w:p>
        </w:tc>
      </w:tr>
      <w:tr>
        <w:tc>
          <w:tcPr>
            <w:tcW w:type="dxa" w:w="960"/>
          </w:tcPr>
          <w:p>
            <w:r>
              <w:t>ASMP-A-001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Design stage of estimate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ASMP-A-002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Drawing register and revision baseline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ASMP-A-003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Specification and BOQ revision baseline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ASMP-A-004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Date of design information cut-off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ASMP-A-005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inclusions statement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ASMP-A-006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exclusions statement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ASMP-A-008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boundary - enabling and early works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ASMP-A-009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boundary - off-site and utility authority works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Applicable codes and standards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ASMP-A-012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Authority requirements affecting scope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ASMP-A-014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Design responsibility allocation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ASMP-A-017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Interface with other trades and packages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ASMP-A-021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Construction duration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ASMP-B-001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Measurement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ASMP-B-002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source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ASMP-B-003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status and completeness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ASMP-B-004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rounding for display and reporting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ASMP-B-006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Unit conversion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ASMP-B-014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Imported quantity validation rules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ASMP-B-015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Imported quantity unit mapping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ASMP-B-016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revision difference handling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ASMP-B-019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Gross floor area and area definitions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ASMP-C-001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Material consumption factor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ASMP-C-002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Wastage inclusion convention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ASMP-C-026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Material price validity period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ASMP-C-031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Material rate basis - delivered or ex-works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ASMP-D-001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Paid hours per shift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ASMP-D-002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Productive hours per shift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ASMP-D-003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days per week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ASMP-D-004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days per month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ASMP-D-005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hours per day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ASMP-D-006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calendar and public holidays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ASMP-D-012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Crew composition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ASMP-D-014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Labour rate basis - direct vs subcontract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ASMP-D-015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Labour on-cost components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ASMP-E-002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Plant hire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ASMP-E-003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Plant utilisation percentage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percent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ASMP-F-001</w:t>
            </w:r>
          </w:p>
        </w:tc>
        <w:tc>
          <w:tcPr>
            <w:tcW w:type="dxa" w:w="960"/>
          </w:tcPr>
          <w:p>
            <w:r>
              <w:t>Logistics, transport and landed cost</w:t>
            </w:r>
          </w:p>
        </w:tc>
        <w:tc>
          <w:tcPr>
            <w:tcW w:type="dxa" w:w="960"/>
          </w:tcPr>
          <w:p>
            <w:r>
              <w:t>Delivery distance and haul route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km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ASMP-F-002</w:t>
            </w:r>
          </w:p>
        </w:tc>
        <w:tc>
          <w:tcPr>
            <w:tcW w:type="dxa" w:w="960"/>
          </w:tcPr>
          <w:p>
            <w:r>
              <w:t>Logistics, transport and landed cost</w:t>
            </w:r>
          </w:p>
        </w:tc>
        <w:tc>
          <w:tcPr>
            <w:tcW w:type="dxa" w:w="960"/>
          </w:tcPr>
          <w:p>
            <w:r>
              <w:t>Freight cost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ASMP-G-001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Project region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ASMP-G-002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Regional cost adjustment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ASMP-G-004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Site access conditions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ASMP-H-001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Indirect cost allocation method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ASMP-H-002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Project duration for indirects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ASMP-H-003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Project management staff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ASMP-H-004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Construction management staff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ASMP-H-006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Head office overhead allocation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ASMP-H-018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HSE management and personnel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ASMP-H-026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Project insurance - contractor's all-risk and third-party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ASMP-H-029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Permits, licences and authority fees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ASMP-I-001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Commercial pricing method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ASMP-I-006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Contingency base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ASMP-I-010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Escalation base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ASMP-I-015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Foreign exchange rates and date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ASMP-I-016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Estimate currency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ASMP-I-017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Monetary rounding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ASMP-I-024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Warranty and defects liability period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ASMP-I-026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Payment terms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ASMP-I-030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Tender validity period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ASMP-I-031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Estimate base date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ASMP-I-032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Contract form and risk allocation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ASMP-J-001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Default tax category</w:t>
            </w:r>
          </w:p>
        </w:tc>
        <w:tc>
          <w:tcPr>
            <w:tcW w:type="dxa" w:w="960"/>
          </w:tcPr>
          <w:p>
            <w:r>
              <w:t>VAT-STD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ASMP-J-002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Tax basis of the estimate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ASMP-J-003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Applicable tax categories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ASMP-J-005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Tax rate effective date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ASMP-J-006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Date-sensitive tax rate verification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ASMP-J-007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Input tax recoverability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ASMP-J-008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Pre-tax cost definition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ASMP-J-009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Output tax treatment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ASMP-J-010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Final payable amount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ASMP-J-016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Tax treatment of subcontractor invoices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ASMP-K-001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Inspection and test plan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ASMP-K-003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Authority witnessing and approvals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ASMP-K-012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Operation and maintenance manuals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ASMP-K-013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As-built drawings and BIM handover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ASMP-K-016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Warranty and handover obligations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ASMP-K-019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Statutory certificates for occupancy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ASMP-L-001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Rate source confidence rule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ASMP-L-002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Rate age warning threshold</w:t>
            </w:r>
          </w:p>
        </w:tc>
        <w:tc>
          <w:tcPr>
            <w:tcW w:type="dxa" w:w="960"/>
          </w:tcPr>
          <w:p>
            <w:r>
              <w:t>180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ASMP-L-004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Design maturity assessment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ASMP-L-005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Quantity completeness assessment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ASMP-L-010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Unresolved mandatory assumptions blocking issue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ASMP-L-014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Overall estimate confidence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ASMP-L-016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Confidence of defaults and unverified data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ASMP-L-019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Estimator review and approval status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ASMP-Z-001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Design stage of the tender documents</w:t>
            </w:r>
          </w:p>
        </w:tc>
        <w:tc>
          <w:tcPr>
            <w:tcW w:type="dxa" w:w="960"/>
          </w:tcPr>
          <w:p>
            <w:r>
              <w:t>IFC for tender (SYNTHETIC)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ASMP-Z-002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Productive hours per worker per shift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ASMP-Z-003</w:t>
            </w:r>
          </w:p>
        </w:tc>
        <w:tc>
          <w:tcPr>
            <w:tcW w:type="dxa" w:w="960"/>
          </w:tcPr>
          <w:p>
            <w:r>
              <w:t>Logistics, transport and landed cost</w:t>
            </w:r>
          </w:p>
        </w:tc>
        <w:tc>
          <w:tcPr>
            <w:tcW w:type="dxa" w:w="960"/>
          </w:tcPr>
          <w:p>
            <w:r>
              <w:t>Delivery to site is by the supplier unless the quotation states otherwise</w:t>
            </w:r>
          </w:p>
        </w:tc>
        <w:tc>
          <w:tcPr>
            <w:tcW w:type="dxa" w:w="960"/>
          </w:tcPr>
          <w:p>
            <w:r>
              <w:t>supplier delivers (SYNTHETIC)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ASMP-Z-004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Offer validity period (days)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ASMP-Z-005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Hydrotest pressure basis is per the piping specification</w:t>
            </w:r>
          </w:p>
        </w:tc>
        <w:tc>
          <w:tcPr>
            <w:tcW w:type="dxa" w:w="960"/>
          </w:tcPr>
          <w:p>
            <w:r>
              <w:t>per SPEC-PIPE-001 (not yet read by a person)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Draft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ASMP-Z-006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Contingency allowance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Draft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1"/>
      </w:pPr>
      <w:r>
        <w:t>Exclusions and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EXC-PRJ-9101-001</w:t>
            </w:r>
          </w:p>
        </w:tc>
        <w:tc>
          <w:tcPr>
            <w:tcW w:type="dxa" w:w="2160"/>
          </w:tcPr>
          <w:p>
            <w:r>
              <w:t>exclusion</w:t>
            </w:r>
          </w:p>
        </w:tc>
        <w:tc>
          <w:tcPr>
            <w:tcW w:type="dxa" w:w="2160"/>
          </w:tcPr>
          <w:p>
            <w:r>
              <w:t>BOQ line C-071#2 (duplicate of C-071) is not priced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</w:tbl>
    <w:p>
      <w:pPr>
        <w:pStyle w:val="Heading1"/>
      </w:pPr>
      <w:r>
        <w:t>Technical deviations carried as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Deviation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D-1</w:t>
            </w:r>
          </w:p>
        </w:tc>
        <w:tc>
          <w:tcPr>
            <w:tcW w:type="dxa" w:w="2160"/>
          </w:tcPr>
          <w:p>
            <w:r>
              <w:t>Radiography is priced on a 130-joint sample (about 20% of 640 joints), not 100%</w:t>
            </w:r>
          </w:p>
        </w:tc>
        <w:tc>
          <w:tcPr>
            <w:tcW w:type="dxa" w:w="2160"/>
          </w:tcPr>
          <w:p>
            <w:r>
              <w:t>SYNTHETIC: sample basis assumed pending clarification; 100% would add cost and time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PRJ-9101-H03 | Approved assumptions and exclusions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assumptions and exclusions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