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register and mitigation owners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Risk register and mitigation owners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H-RISK@1.0.0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Probability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Cost low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Likely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RSK-PRJ-9101-001</w:t>
            </w:r>
          </w:p>
        </w:tc>
        <w:tc>
          <w:tcPr>
            <w:tcW w:type="dxa" w:w="1080"/>
          </w:tcPr>
          <w:p>
            <w:r>
              <w:t>Ground conditions in hard material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20000</w:t>
            </w:r>
          </w:p>
        </w:tc>
        <w:tc>
          <w:tcPr>
            <w:tcW w:type="dxa" w:w="1080"/>
          </w:tcPr>
          <w:p>
            <w:r>
              <w:t>60000</w:t>
            </w:r>
          </w:p>
        </w:tc>
        <w:tc>
          <w:tcPr>
            <w:tcW w:type="dxa" w:w="1080"/>
          </w:tcPr>
          <w:p>
            <w:r>
              <w:t>150000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RSK-PRJ-9101-002</w:t>
            </w:r>
          </w:p>
        </w:tc>
        <w:tc>
          <w:tcPr>
            <w:tcW w:type="dxa" w:w="1080"/>
          </w:tcPr>
          <w:p>
            <w:r>
              <w:t>Pump skid delivery delay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45000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RSK-PRJ-9101-003</w:t>
            </w:r>
          </w:p>
        </w:tc>
        <w:tc>
          <w:tcPr>
            <w:tcW w:type="dxa" w:w="1080"/>
          </w:tcPr>
          <w:p>
            <w:r>
              <w:t>Interface with existing fire ring main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10000</w:t>
            </w:r>
          </w:p>
        </w:tc>
        <w:tc>
          <w:tcPr>
            <w:tcW w:type="dxa" w:w="1080"/>
          </w:tcPr>
          <w:p>
            <w:r>
              <w:t>30000</w:t>
            </w:r>
          </w:p>
        </w:tc>
        <w:tc>
          <w:tcPr>
            <w:tcW w:type="dxa" w:w="1080"/>
          </w:tcPr>
          <w:p>
            <w:r>
              <w:t>90000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>
      <w:pPr>
        <w:pStyle w:val="Heading1"/>
      </w:pPr>
      <w:r>
        <w:t>Opportunities</w:t>
      </w:r>
    </w:p>
    <w:p>
      <w:r>
        <w:t>No opportunity is recorded in the register.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PRJ-9101-H13 | Risk register and mitigation owners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 and mitigation owners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