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Bid/no-bid record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Bid/no-bid record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T-BIDNOBID@1.0.0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Bid / no-bid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assessment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capacity</w:t>
            </w:r>
          </w:p>
        </w:tc>
        <w:tc>
          <w:tcPr>
            <w:tcW w:type="dxa" w:w="1728"/>
          </w:tcPr>
          <w:p>
            <w:r>
              <w:t>Resource capacity</w:t>
            </w:r>
          </w:p>
        </w:tc>
        <w:tc>
          <w:tcPr>
            <w:tcW w:type="dxa" w:w="1728"/>
          </w:tcPr>
          <w:p>
            <w:r>
              <w:t>Bid: mid-sized crew can cover the programme (see crew scenarios)</w:t>
            </w:r>
          </w:p>
        </w:tc>
        <w:tc>
          <w:tcPr>
            <w:tcW w:type="dxa" w:w="1728"/>
          </w:tcPr>
          <w:p>
            <w:r>
              <w:t>SYNTHETIC workforce scenarios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  <w:tr>
        <w:tc>
          <w:tcPr>
            <w:tcW w:type="dxa" w:w="1728"/>
          </w:tcPr>
          <w:p>
            <w:r>
              <w:t>margin</w:t>
            </w:r>
          </w:p>
        </w:tc>
        <w:tc>
          <w:tcPr>
            <w:tcW w:type="dxa" w:w="1728"/>
          </w:tcPr>
          <w:p>
            <w:r>
              <w:t>Commercial attractiveness</w:t>
            </w:r>
          </w:p>
        </w:tc>
        <w:tc>
          <w:tcPr>
            <w:tcW w:type="dxa" w:w="1728"/>
          </w:tcPr>
          <w:p>
            <w:r>
              <w:t>Bid, subject to resolving open queries and the missing-rate package</w:t>
            </w:r>
          </w:p>
        </w:tc>
        <w:tc>
          <w:tcPr>
            <w:tcW w:type="dxa" w:w="1728"/>
          </w:tcPr>
          <w:p>
            <w:r>
              <w:t>SYNTHETIC estimate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  <w:tr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Technical / contractual risk</w:t>
            </w:r>
          </w:p>
        </w:tc>
        <w:tc>
          <w:tcPr>
            <w:tcW w:type="dxa" w:w="1728"/>
          </w:tcPr>
          <w:p>
            <w:r>
              <w:t>Moderate: ambiguous scope items and an interface with existing fire ring main</w:t>
            </w:r>
          </w:p>
        </w:tc>
        <w:tc>
          <w:tcPr>
            <w:tcW w:type="dxa" w:w="1728"/>
          </w:tcPr>
          <w:p>
            <w:r>
              <w:t>SYNTHETIC queries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The assessment is a person's judgement recorded here; the system does not decide whether to bid.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PRJ-9101-D03 | Bid/no-bid record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Bid/no-bid record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