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Pricing basis and basis of estimate (BOE)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PRJ-9101-D07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Pricing basis and basis of estimate (BOE)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T-BOE@1.0.0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Basis of estimate -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generated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{"id": "PRJ-9101", "name": "Dammam Industrial Utilities - Synthetic Tender Closure", "client": "Gulf Process Utilities Co. (FICTIONAL SYNTHETIC CUSTOMER)", "location": "Dammam industrial area, Saudi Arabia (fictional site)", "region": "KSA-ALL", "currency": "SAR", "tender_ref": "SYN-TENDER-9101",...</w:t>
            </w:r>
          </w:p>
        </w:tc>
      </w:tr>
      <w:tr>
        <w:tc>
          <w:tcPr>
            <w:tcW w:type="dxa" w:w="4320"/>
          </w:tcPr>
          <w:p>
            <w:r>
              <w:t>banner</w:t>
            </w:r>
          </w:p>
        </w:tc>
        <w:tc>
          <w:tcPr>
            <w:tcW w:type="dxa" w:w="4320"/>
          </w:tcPr>
          <w:p>
            <w:r>
              <w:t>["DEMONSTRATION PROJECT - SYNTHETIC DATA - NOT A MARKET QUOTE", "SYNTHETIC RATES IN USE", "PROJECT NOTE: SYNTHETIC SOFTWARE VALIDATION ONLY - FICTIONAL CUSTOMER - NOT A REAL TENDER - NOT FOR SUBMISSION OR COMMERCIAL RELIANCE."]</w:t>
            </w:r>
          </w:p>
        </w:tc>
      </w:tr>
      <w:tr>
        <w:tc>
          <w:tcPr>
            <w:tcW w:type="dxa" w:w="4320"/>
          </w:tcPr>
          <w:p>
            <w:r>
              <w:t>estimate</w:t>
            </w:r>
          </w:p>
        </w:tc>
        <w:tc>
          <w:tcPr>
            <w:tcW w:type="dxa" w:w="4320"/>
          </w:tcPr>
          <w:p>
            <w:r>
              <w:t>{"state": "Complete", "fingerprint": "48d0f9242dc910b76b953823fdb320a5afd036297875e35276224a0f0929f6c5", "totals": {"direct_cost": "3452410.00", "indirect_cost": "292543.90", "total_cost": "3894752.06", "selling_price_pre_tax": "4206320.69", "commercial_net_price": "4206332.22", "tax": "630948.10...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{"boq_imports": [{"revision": null, "source_file": "boq_SYNTHETIC_TEST_ONLY.csv", "sha256": "baa7419a68f653e12f17e305539be048fcb23d8f1114a2fff4b6e2f8636a7db4", "imported_by": "test-estimator", "imported_at": "2026-10-14T16:19:09+00:00", "summary_json": "{\"blank\": 0, \"by_trade\": {\"civil\": 5,...</w:t>
            </w:r>
          </w:p>
        </w:tc>
      </w:tr>
      <w:tr>
        <w:tc>
          <w:tcPr>
            <w:tcW w:type="dxa" w:w="4320"/>
          </w:tcPr>
          <w:p>
            <w:r>
              <w:t>pricing</w:t>
            </w:r>
          </w:p>
        </w:tc>
        <w:tc>
          <w:tcPr>
            <w:tcW w:type="dxa" w:w="4320"/>
          </w:tcPr>
          <w:p>
            <w:r>
              <w:t>{"rate_types": {"Synthetic Demonstration Rate": 43}, "rate_sources": {"(none recorded)": 43}, "rates_used": 43, "synthetic_rates": 43, "provisional_rates": 0, "unpriced_items": 0, "oldest_price_date": "2026-10-01", "tax": {"VAT-STD": {"rate": "15", "status": "Approved", "note": null}}, "fx": []}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{"plant_hire_terms": [{"code": "CRANE-TERMS", "version": 1, "scope": "project", "source": "SYNTHETIC TEST DATA - NOT AN INDUSTRY BENCHMARK - NOT A MARKET QUOTE", "approved_by": "test-commercial"}, {"code": "SCAFFOLD-TERMS", "version": 1, "scope": "project", "source": "SYNTHETIC TEST DATA - NOT AN...</w:t>
            </w:r>
          </w:p>
        </w:tc>
      </w:tr>
      <w:tr>
        <w:tc>
          <w:tcPr>
            <w:tcW w:type="dxa" w:w="4320"/>
          </w:tcPr>
          <w:p>
            <w:r>
              <w:t>take_off</w:t>
            </w:r>
          </w:p>
        </w:tc>
        <w:tc>
          <w:tcPr>
            <w:tcW w:type="dxa" w:w="4320"/>
          </w:tcPr>
          <w:p>
            <w:r>
              <w:t>{"applications": [], "stale": 0}</w:t>
            </w:r>
          </w:p>
        </w:tc>
      </w:tr>
      <w:tr>
        <w:tc>
          <w:tcPr>
            <w:tcW w:type="dxa" w:w="4320"/>
          </w:tcPr>
          <w:p>
            <w:r>
              <w:t>indirects</w:t>
            </w:r>
          </w:p>
        </w:tc>
        <w:tc>
          <w:tcPr>
            <w:tcW w:type="dxa" w:w="4320"/>
          </w:tcPr>
          <w:p>
            <w:r>
              <w:t>{"lines": [{"code": "IND-HO", "description": "SYNTHETIC IND-HO: eligibility base now stated (division A and plant excluded; B,C,E,G,H,I included)", "amount": "89181.30"}, {"code": "IND-INS", "description": "SYNTHETIC contract works insurance allowance (fixed)", "amount": "25000.00"}, {"code": "IN...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{"tasks": [{"task_code": "A-MOB", "name": "Mobilisation", "duration_days": "0", "predecessors": ""}, {"task_code": "A-EXC", "name": "Trench excavation", "duration_days": "15", "predecessors": "A-MOB"}, {"task_code": "A-EXCH", "name": "Hard-material excavation", "duration_days": "10", "predecessor...</w:t>
            </w:r>
          </w:p>
        </w:tc>
      </w:tr>
      <w:tr>
        <w:tc>
          <w:tcPr>
            <w:tcW w:type="dxa" w:w="4320"/>
          </w:tcPr>
          <w:p>
            <w:r>
              <w:t>commercial</w:t>
            </w:r>
          </w:p>
        </w:tc>
        <w:tc>
          <w:tcPr>
            <w:tcW w:type="dxa" w:w="4320"/>
          </w:tcPr>
          <w:p>
            <w:r>
              <w:t>{"policy": "SYNTHETIC policy: markup 8% on total cost, contingency 4% of direct+indirect", "status": "Approved", "method": "Selling price = Cost x (1 + Markup); markup = 8% on total cost", "direct": "3452410.00", "indirect": "292543.90", "contingency": "149798.16", "risk": "0", "escalation": "0",...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{"project_id": "PRJ-9101", "estimate_state": "Complete", "measured_maturity": {"items_total": 43, "items_unpriced_pct": 0.0, "wbs_assigned_pct": 0.0, "open_clarifications": 0, "mto_stale": 0, "synthetic_used": true, "provisional_used": false}, "scheme": null, "definition_pct": null, "class_id": n...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{"linked": false, "statement": "No client profile is linked to this project: no compliance statement can be made.", "profile": null, "counts": null}</w:t>
            </w:r>
          </w:p>
        </w:tc>
      </w:tr>
      <w:tr>
        <w:tc>
          <w:tcPr>
            <w:tcW w:type="dxa" w:w="4320"/>
          </w:tcPr>
          <w:p>
            <w:r>
              <w:t>exceptions_total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Basis of estimate - assemblies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synthetic</w:t>
            </w:r>
          </w:p>
        </w:tc>
      </w:tr>
      <w:tr>
        <w:tc>
          <w:tcPr>
            <w:tcW w:type="dxa" w:w="2160"/>
          </w:tcPr>
          <w:p>
            <w:r>
              <w:t>SYNA-C-072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SYNA-C-071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SYNA-C-064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SYNA-C-063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SYNA-C-061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SYNA-C-060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SYNA-C-056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SYNA-C-055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SYNA-C-052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SYNA-C-051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SYNA-C-047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SYNA-C-046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SYNA-C-041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SYNA-C-040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SYNA-C-039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SYNA-C-038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SYNA-C-037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SYNA-C-036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SYNA-C-035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SYNA-C-034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SYNA-C-033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SYNA-C-032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SYNA-C-031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SYNA-C-030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SYNA-C-025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SYNA-C-024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SYNA-C-023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SYNA-C-022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SYNA-C-021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SYNA-C-020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SYNA-C-014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SYNA-C-013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SYNA-C-011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SYNA-C-004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SYNA-C-003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SYNA-C-002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SYNA-C-001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pPr>
        <w:pStyle w:val="Heading1"/>
      </w:pPr>
      <w:r>
        <w:t>Basis of estimate -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engine_key</w:t>
            </w:r>
          </w:p>
        </w:tc>
      </w:tr>
      <w:tr>
        <w:tc>
          <w:tcPr>
            <w:tcW w:type="dxa" w:w="1728"/>
          </w:tcPr>
          <w:p>
            <w:r>
              <w:t>ASMP-B-004</w:t>
            </w:r>
          </w:p>
        </w:tc>
        <w:tc>
          <w:tcPr>
            <w:tcW w:type="dxa" w:w="1728"/>
          </w:tcPr>
          <w:p>
            <w:r>
              <w:t>Quantity rounding for display and reporting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qty.rounding_dp</w:t>
            </w:r>
          </w:p>
        </w:tc>
      </w:tr>
      <w:tr>
        <w:tc>
          <w:tcPr>
            <w:tcW w:type="dxa" w:w="1728"/>
          </w:tcPr>
          <w:p>
            <w:r>
              <w:t>ASMP-D-001</w:t>
            </w:r>
          </w:p>
        </w:tc>
        <w:tc>
          <w:tcPr>
            <w:tcW w:type="dxa" w:w="1728"/>
          </w:tcPr>
          <w:p>
            <w:r>
              <w:t>Paid hours per shift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labour.shift_hours</w:t>
            </w:r>
          </w:p>
        </w:tc>
      </w:tr>
      <w:tr>
        <w:tc>
          <w:tcPr>
            <w:tcW w:type="dxa" w:w="1728"/>
          </w:tcPr>
          <w:p>
            <w:r>
              <w:t>ASMP-D-002</w:t>
            </w:r>
          </w:p>
        </w:tc>
        <w:tc>
          <w:tcPr>
            <w:tcW w:type="dxa" w:w="1728"/>
          </w:tcPr>
          <w:p>
            <w:r>
              <w:t>Productive hours per shift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labour.productive_hours_per_shift</w:t>
            </w:r>
          </w:p>
        </w:tc>
      </w:tr>
      <w:tr>
        <w:tc>
          <w:tcPr>
            <w:tcW w:type="dxa" w:w="1728"/>
          </w:tcPr>
          <w:p>
            <w:r>
              <w:t>ASMP-D-003</w:t>
            </w:r>
          </w:p>
        </w:tc>
        <w:tc>
          <w:tcPr>
            <w:tcW w:type="dxa" w:w="1728"/>
          </w:tcPr>
          <w:p>
            <w:r>
              <w:t>Working days per week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calendar.working_days_per_week</w:t>
            </w:r>
          </w:p>
        </w:tc>
      </w:tr>
      <w:tr>
        <w:tc>
          <w:tcPr>
            <w:tcW w:type="dxa" w:w="1728"/>
          </w:tcPr>
          <w:p>
            <w:r>
              <w:t>ASMP-D-004</w:t>
            </w:r>
          </w:p>
        </w:tc>
        <w:tc>
          <w:tcPr>
            <w:tcW w:type="dxa" w:w="1728"/>
          </w:tcPr>
          <w:p>
            <w:r>
              <w:t>Working days per month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calendar.working_days_per_month</w:t>
            </w:r>
          </w:p>
        </w:tc>
      </w:tr>
      <w:tr>
        <w:tc>
          <w:tcPr>
            <w:tcW w:type="dxa" w:w="1728"/>
          </w:tcPr>
          <w:p>
            <w:r>
              <w:t>ASMP-D-005</w:t>
            </w:r>
          </w:p>
        </w:tc>
        <w:tc>
          <w:tcPr>
            <w:tcW w:type="dxa" w:w="1728"/>
          </w:tcPr>
          <w:p>
            <w:r>
              <w:t>Working hours per day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calendar.hours_per_day</w:t>
            </w:r>
          </w:p>
        </w:tc>
      </w:tr>
      <w:tr>
        <w:tc>
          <w:tcPr>
            <w:tcW w:type="dxa" w:w="1728"/>
          </w:tcPr>
          <w:p>
            <w:r>
              <w:t>ASMP-E-003</w:t>
            </w:r>
          </w:p>
        </w:tc>
        <w:tc>
          <w:tcPr>
            <w:tcW w:type="dxa" w:w="1728"/>
          </w:tcPr>
          <w:p>
            <w:r>
              <w:t>Plant utilisation percentage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plant.utilisation_pct</w:t>
            </w:r>
          </w:p>
        </w:tc>
      </w:tr>
      <w:tr>
        <w:tc>
          <w:tcPr>
            <w:tcW w:type="dxa" w:w="1728"/>
          </w:tcPr>
          <w:p>
            <w:r>
              <w:t>ASMP-I-017</w:t>
            </w:r>
          </w:p>
        </w:tc>
        <w:tc>
          <w:tcPr>
            <w:tcW w:type="dxa" w:w="1728"/>
          </w:tcPr>
          <w:p>
            <w:r>
              <w:t>Monetary rounding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money.rounding_dp</w:t>
            </w:r>
          </w:p>
        </w:tc>
      </w:tr>
      <w:tr>
        <w:tc>
          <w:tcPr>
            <w:tcW w:type="dxa" w:w="1728"/>
          </w:tcPr>
          <w:p>
            <w:r>
              <w:t>ASMP-J-001</w:t>
            </w:r>
          </w:p>
        </w:tc>
        <w:tc>
          <w:tcPr>
            <w:tcW w:type="dxa" w:w="1728"/>
          </w:tcPr>
          <w:p>
            <w:r>
              <w:t>Default tax category</w:t>
            </w:r>
          </w:p>
        </w:tc>
        <w:tc>
          <w:tcPr>
            <w:tcW w:type="dxa" w:w="1728"/>
          </w:tcPr>
          <w:p>
            <w:r>
              <w:t>VAT-STD</w:t>
            </w:r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tax.default_category</w:t>
            </w:r>
          </w:p>
        </w:tc>
      </w:tr>
      <w:tr>
        <w:tc>
          <w:tcPr>
            <w:tcW w:type="dxa" w:w="1728"/>
          </w:tcPr>
          <w:p>
            <w:r>
              <w:t>ASMP-L-002</w:t>
            </w:r>
          </w:p>
        </w:tc>
        <w:tc>
          <w:tcPr>
            <w:tcW w:type="dxa" w:w="1728"/>
          </w:tcPr>
          <w:p>
            <w:r>
              <w:t>Rate age warning threshold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rates.age_warning_days</w:t>
            </w:r>
          </w:p>
        </w:tc>
      </w:tr>
      <w:tr>
        <w:tc>
          <w:tcPr>
            <w:tcW w:type="dxa" w:w="1728"/>
          </w:tcPr>
          <w:p>
            <w:r>
              <w:t>ASMP-L-003</w:t>
            </w:r>
          </w:p>
        </w:tc>
        <w:tc>
          <w:tcPr>
            <w:tcW w:type="dxa" w:w="1728"/>
          </w:tcPr>
          <w:p>
            <w:r>
              <w:t>Rate age maximum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 Review</w:t>
            </w:r>
          </w:p>
        </w:tc>
        <w:tc>
          <w:tcPr>
            <w:tcW w:type="dxa" w:w="1728"/>
          </w:tcPr>
          <w:p>
            <w:r>
              <w:t>rates.age_max_days</w:t>
            </w:r>
          </w:p>
        </w:tc>
      </w:tr>
    </w:tbl>
    <w:p>
      <w:pPr>
        <w:pStyle w:val="Heading1"/>
      </w:pPr>
      <w:r>
        <w:t>Basis of estimate -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probability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cost_exposure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prob_pct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cost_likely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RSK-PRJ-9101-001</w:t>
            </w:r>
          </w:p>
        </w:tc>
        <w:tc>
          <w:tcPr>
            <w:tcW w:type="dxa" w:w="1080"/>
          </w:tcPr>
          <w:p>
            <w:r>
              <w:t>Ground conditions in hard material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60000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RSK-PRJ-9101-002</w:t>
            </w:r>
          </w:p>
        </w:tc>
        <w:tc>
          <w:tcPr>
            <w:tcW w:type="dxa" w:w="1080"/>
          </w:tcPr>
          <w:p>
            <w:r>
              <w:t>Pump skid delivery delay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45000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RSK-PRJ-9101-003</w:t>
            </w:r>
          </w:p>
        </w:tc>
        <w:tc>
          <w:tcPr>
            <w:tcW w:type="dxa" w:w="1080"/>
          </w:tcPr>
          <w:p>
            <w:r>
              <w:t>Interface with existing fire ring main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30000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</w:tbl>
    <w:p>
      <w:pPr>
        <w:pStyle w:val="Heading1"/>
      </w:pPr>
      <w:r>
        <w:t>Basis of estimate -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entity_type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4320"/>
          </w:tcPr>
          <w:p>
            <w:r>
              <w:t>boq_mapping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boq_quantity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boq_unit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estimate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exclusion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indirect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offer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param:calendar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param:escalation_profile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param:payment_terms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param:plant_hire_terms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param:time_allocation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programme_baseline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quotation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recon_exception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supplier_selection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tender_export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tender_query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tender_register_item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Basis of estimate - human_sections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guidance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text</w:t>
            </w:r>
          </w:p>
        </w:tc>
      </w:tr>
      <w:tr>
        <w:tc>
          <w:tcPr>
            <w:tcW w:type="dxa" w:w="2880"/>
          </w:tcPr>
          <w:p>
            <w:r>
              <w:t>Design basis and scope narrative</w:t>
            </w:r>
          </w:p>
        </w:tc>
        <w:tc>
          <w:tcPr>
            <w:tcW w:type="dxa" w:w="2880"/>
          </w:tcPr>
          <w:p>
            <w:r>
              <w:t>Describe the design basis, the extent of the engineering received and any design still to be developed.</w:t>
            </w:r>
          </w:p>
        </w:tc>
        <w:tc>
          <w:tcPr>
            <w:tcW w:type="dxa" w:w="2880"/>
          </w:tcPr>
          <w:p>
            <w:r>
              <w:t>[TO BE COMPLETED BY ESTIMATOR]</w:t>
            </w:r>
          </w:p>
        </w:tc>
      </w:tr>
      <w:tr>
        <w:tc>
          <w:tcPr>
            <w:tcW w:type="dxa" w:w="2880"/>
          </w:tcPr>
          <w:p>
            <w:r>
              <w:t>Construction methodology and sequencing</w:t>
            </w:r>
          </w:p>
        </w:tc>
        <w:tc>
          <w:tcPr>
            <w:tcW w:type="dxa" w:w="2880"/>
          </w:tcPr>
          <w:p>
            <w:r>
              <w:t>Describe the construction approach, major methods, key resources and constraints assumed.</w:t>
            </w:r>
          </w:p>
        </w:tc>
        <w:tc>
          <w:tcPr>
            <w:tcW w:type="dxa" w:w="2880"/>
          </w:tcPr>
          <w:p>
            <w:r>
              <w:t>[TO BE COMPLETED BY ESTIMATOR]</w:t>
            </w:r>
          </w:p>
        </w:tc>
      </w:tr>
      <w:tr>
        <w:tc>
          <w:tcPr>
            <w:tcW w:type="dxa" w:w="2880"/>
          </w:tcPr>
          <w:p>
            <w:r>
              <w:t>Productivity and labour basis narrative</w:t>
            </w:r>
          </w:p>
        </w:tc>
        <w:tc>
          <w:tcPr>
            <w:tcW w:type="dxa" w:w="2880"/>
          </w:tcPr>
          <w:p>
            <w:r>
              <w:t>Explain the productivity norms applied and their source (company actuals, client norms, benchmarks).</w:t>
            </w:r>
          </w:p>
        </w:tc>
        <w:tc>
          <w:tcPr>
            <w:tcW w:type="dxa" w:w="2880"/>
          </w:tcPr>
          <w:p>
            <w:r>
              <w:t>[TO BE COMPLETED BY ESTIMATOR]</w:t>
            </w:r>
          </w:p>
        </w:tc>
      </w:tr>
      <w:tr>
        <w:tc>
          <w:tcPr>
            <w:tcW w:type="dxa" w:w="2880"/>
          </w:tcPr>
          <w:p>
            <w:r>
              <w:t>Procurement and subcontracting strategy</w:t>
            </w:r>
          </w:p>
        </w:tc>
        <w:tc>
          <w:tcPr>
            <w:tcW w:type="dxa" w:w="2880"/>
          </w:tcPr>
          <w:p>
            <w:r>
              <w:t>Describe package strategy, long-lead items, vendor/subcontractor selection and any client-nominated items.</w:t>
            </w:r>
          </w:p>
        </w:tc>
        <w:tc>
          <w:tcPr>
            <w:tcW w:type="dxa" w:w="2880"/>
          </w:tcPr>
          <w:p>
            <w:r>
              <w:t>[TO BE COMPLETED BY ESTIMATOR]</w:t>
            </w:r>
          </w:p>
        </w:tc>
      </w:tr>
      <w:tr>
        <w:tc>
          <w:tcPr>
            <w:tcW w:type="dxa" w:w="2880"/>
          </w:tcPr>
          <w:p>
            <w:r>
              <w:t>Site conditions, access and logistics</w:t>
            </w:r>
          </w:p>
        </w:tc>
        <w:tc>
          <w:tcPr>
            <w:tcW w:type="dxa" w:w="2880"/>
          </w:tcPr>
          <w:p>
            <w:r>
              <w:t>Describe the site, access, laydown, climate and logistics assumptions.</w:t>
            </w:r>
          </w:p>
        </w:tc>
        <w:tc>
          <w:tcPr>
            <w:tcW w:type="dxa" w:w="2880"/>
          </w:tcPr>
          <w:p>
            <w:r>
              <w:t>[TO BE COMPLETED BY ESTIMATOR]</w:t>
            </w:r>
          </w:p>
        </w:tc>
      </w:tr>
      <w:tr>
        <w:tc>
          <w:tcPr>
            <w:tcW w:type="dxa" w:w="2880"/>
          </w:tcPr>
          <w:p>
            <w:r>
              <w:t>Risks and opportunities commentary</w:t>
            </w:r>
          </w:p>
        </w:tc>
        <w:tc>
          <w:tcPr>
            <w:tcW w:type="dxa" w:w="2880"/>
          </w:tcPr>
          <w:p>
            <w:r>
              <w:t>Comment on key risks, how exposure was assessed and what the contingency covers.</w:t>
            </w:r>
          </w:p>
        </w:tc>
        <w:tc>
          <w:tcPr>
            <w:tcW w:type="dxa" w:w="2880"/>
          </w:tcPr>
          <w:p>
            <w:r>
              <w:t>[TO BE COMPLETED BY ESTIMATOR]</w:t>
            </w:r>
          </w:p>
        </w:tc>
      </w:tr>
    </w:tbl>
    <w:p>
      <w:pPr>
        <w:pStyle w:val="Heading1"/>
      </w:pPr>
      <w:r>
        <w:t>Estimate classification</w:t>
      </w:r>
    </w:p>
    <w:p>
      <w:r>
        <w:t>The product's internal capability levels 1-5 are NOT AACE estimate classes and are not official classifications of any owner. Estimate class, if any, comes from a company-approved classification scheme only.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PRJ-9101-D07 | Pricing basis and basis of estimate (BOE)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basis and basis of estimate (BOE)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