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 and commercial terms summary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Tax and commercial terms summary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T-TAX@1.0.0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Tax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VAT amount (SAR)</w:t>
            </w:r>
          </w:p>
        </w:tc>
        <w:tc>
          <w:tcPr>
            <w:tcW w:type="dxa" w:w="4320"/>
          </w:tcPr>
          <w:p>
            <w:r>
              <w:t>630,948.10</w:t>
            </w:r>
          </w:p>
        </w:tc>
      </w:tr>
      <w:tr>
        <w:tc>
          <w:tcPr>
            <w:tcW w:type="dxa" w:w="4320"/>
          </w:tcPr>
          <w:p>
            <w:r>
              <w:t>Net price (SAR)</w:t>
            </w:r>
          </w:p>
        </w:tc>
        <w:tc>
          <w:tcPr>
            <w:tcW w:type="dxa" w:w="4320"/>
          </w:tcPr>
          <w:p>
            <w:r>
              <w:t>4,206,332.22</w:t>
            </w:r>
          </w:p>
        </w:tc>
      </w:tr>
      <w:tr>
        <w:tc>
          <w:tcPr>
            <w:tcW w:type="dxa" w:w="4320"/>
          </w:tcPr>
          <w:p>
            <w:r>
              <w:t>Final payable (SAR)</w:t>
            </w:r>
          </w:p>
        </w:tc>
        <w:tc>
          <w:tcPr>
            <w:tcW w:type="dxa" w:w="4320"/>
          </w:tcPr>
          <w:p>
            <w:r>
              <w:t>4,837,268.79</w:t>
            </w:r>
          </w:p>
        </w:tc>
      </w:tr>
      <w:tr>
        <w:tc>
          <w:tcPr>
            <w:tcW w:type="dxa" w:w="4320"/>
          </w:tcPr>
          <w:p>
            <w:r>
              <w:t>Tax determination</w:t>
            </w:r>
          </w:p>
        </w:tc>
        <w:tc>
          <w:tcPr>
            <w:tcW w:type="dxa" w:w="4320"/>
          </w:tcPr>
          <w:p>
            <w:r>
              <w:t>from the approved tax categories frozen with the estimate snapshot</w:t>
            </w:r>
          </w:p>
        </w:tc>
      </w:tr>
    </w:tbl>
    <w:p>
      <w:pPr>
        <w:pStyle w:val="Heading1"/>
      </w:pPr>
      <w:r>
        <w:t>Note</w:t>
      </w:r>
    </w:p>
    <w:p>
      <w:r>
        <w:t>Tax treatment has not been verified by a tax professional unless the approved tax category record says so; confirm with ZATCA guidance before submission.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PRJ-9101-D12 | Tax and commercial terms summary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 and commercial terms summary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