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proposal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proposal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T-TECH-PROPOSAL@1.0.0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Contents</w:t>
      </w:r>
    </w:p>
    <w:p>
      <w:r>
        <w:t>This proposal summarises: understanding (D17), methodology (D18), programme (D19), workforce (D20), plant (D21), procurement (D22), compliance (D23/D24), queries (D25), interfaces (D26), quality (D27/D28), HSE (D29), submittals (D30), testing and commissioning (D31) and closeout (D32).</w:t>
      </w:r>
    </w:p>
    <w:p>
      <w:pPr>
        <w:pStyle w:val="Heading1"/>
      </w:pPr>
      <w:r>
        <w:t>Programme headline</w:t>
      </w:r>
    </w:p>
    <w:p>
      <w:r>
        <w:t>231 working days / 327 calendar days, finish 2028-01-27; PROVISIONAL - NOT FOR RELIANCE: synthetic test inputs</w:t>
      </w:r>
    </w:p>
    <w:p>
      <w:pPr>
        <w:pStyle w:val="Heading1"/>
      </w:pPr>
      <w:r>
        <w:t>Status</w:t>
      </w:r>
    </w:p>
    <w:p>
      <w:r>
        <w:t>This technical proposal is a draft assembled from registers. Specialist engineering, HSE and regulatory content must be completed and approved by competent persons before release. No compliance with any owner or national standard is stated.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PRJ-9101-D16 | Technical proposal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proposal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