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and closeout plan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Handover and closeout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T-CLOSEOUT@1.0.0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Handover obligations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oam</w:t>
            </w:r>
          </w:p>
        </w:tc>
        <w:tc>
          <w:tcPr>
            <w:tcW w:type="dxa" w:w="1728"/>
          </w:tcPr>
          <w:p>
            <w:r>
              <w:t>O&amp;M manuals and as-built records at completion</w:t>
            </w:r>
          </w:p>
        </w:tc>
        <w:tc>
          <w:tcPr>
            <w:tcW w:type="dxa" w:w="1728"/>
          </w:tcPr>
          <w:p>
            <w:r>
              <w:t>COND-001 (FICTIONAL)</w:t>
            </w:r>
          </w:p>
        </w:tc>
        <w:tc>
          <w:tcPr>
            <w:tcW w:type="dxa" w:w="1728"/>
          </w:tcPr>
          <w:p>
            <w:r>
              <w:t>Project manager (to be named)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PRJ-9101-D32 | Handover and closeout plan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and closeout plan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