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46FF40" wp14:paraId="2C078E63" wp14:textId="53188D68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2C46FF40" w:rsidR="6CAF77E1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PROG7311 POE PART 1</w:t>
      </w:r>
    </w:p>
    <w:p w:rsidR="6CAF77E1" w:rsidP="2C46FF40" w:rsidRDefault="6CAF77E1" w14:paraId="0B38E252" w14:textId="1CB516BC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C46FF40" w:rsidR="6CAF77E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Imaan Ebrahim</w:t>
      </w:r>
    </w:p>
    <w:p w:rsidR="6CAF77E1" w:rsidP="2C46FF40" w:rsidRDefault="6CAF77E1" w14:paraId="20C41228" w14:textId="5FAE9BCD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C46FF40" w:rsidR="6CAF77E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ST10021922</w:t>
      </w:r>
    </w:p>
    <w:p w:rsidR="6CAF77E1" w:rsidP="2C46FF40" w:rsidRDefault="6CAF77E1" w14:paraId="60AD06B4" w14:textId="56D6B56E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C46FF40" w:rsidR="6CAF77E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PROG7311 </w:t>
      </w:r>
    </w:p>
    <w:p w:rsidR="6CAF77E1" w:rsidP="2C46FF40" w:rsidRDefault="6CAF77E1" w14:paraId="7BF3BBD6" w14:textId="12414A35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C46FF40" w:rsidR="6CAF77E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</w:p>
    <w:p w:rsidR="217D5FBB" w:rsidP="2C46FF40" w:rsidRDefault="217D5FBB" w14:paraId="3B8D0AE1" w14:textId="6F37EC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</w:pPr>
      <w:r w:rsidRPr="2C46FF40" w:rsidR="217D5FBB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single"/>
        </w:rPr>
        <w:t xml:space="preserve">AGRI-ENERGY </w:t>
      </w:r>
      <w:r w:rsidRPr="2C46FF40" w:rsidR="217D5FBB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single"/>
        </w:rPr>
        <w:t>CONNECT:</w:t>
      </w:r>
      <w:r w:rsidRPr="2C46FF40" w:rsidR="217D5FBB">
        <w:rPr>
          <w:rFonts w:ascii="Times New Roman" w:hAnsi="Times New Roman" w:eastAsia="Times New Roman" w:cs="Times New Roman"/>
          <w:b w:val="0"/>
          <w:bCs w:val="0"/>
          <w:sz w:val="36"/>
          <w:szCs w:val="36"/>
          <w:u w:val="single"/>
        </w:rPr>
        <w:t xml:space="preserve"> </w:t>
      </w:r>
      <w:r w:rsidRPr="2C46FF40" w:rsidR="217D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 Digital Platform for Eco-Friendly Farming and Renewable Energy</w:t>
      </w:r>
    </w:p>
    <w:p w:rsidR="217D5FBB" w:rsidP="2C46FF40" w:rsidRDefault="217D5FBB" w14:paraId="5069931D" w14:textId="179356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C46FF40" w:rsidR="217D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Introduction:</w:t>
      </w:r>
    </w:p>
    <w:p w:rsidR="217D5FBB" w:rsidP="2C46FF40" w:rsidRDefault="217D5FBB" w14:paraId="3F4D07FC" w14:textId="55362C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217D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goal of the Agri-Energy Connect platform is to close the divide between the agricultural industry and providers of green energy technology. </w:t>
      </w:r>
      <w:r w:rsidRPr="2C46FF40" w:rsidR="217D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platform will enable cooperation, information exchange, and creativity in the fields of sustainable agriculture and renewable energy by establishing a digital ecosystem.</w:t>
      </w:r>
    </w:p>
    <w:p w:rsidR="24ABC85C" w:rsidP="2C46FF40" w:rsidRDefault="24ABC85C" w14:paraId="0D638E33" w14:textId="447738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4ABC85C">
        <w:drawing>
          <wp:inline wp14:editId="5236D6BD" wp14:anchorId="032896E9">
            <wp:extent cx="4076103" cy="4076103"/>
            <wp:effectExtent l="0" t="0" r="0" b="0"/>
            <wp:docPr id="154018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b33894938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03" cy="40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BA262" w:rsidP="2C46FF40" w:rsidRDefault="38DBA262" w14:paraId="58285010" w14:textId="6A029F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Non-Functional Requirements:</w:t>
      </w:r>
    </w:p>
    <w:p w:rsidR="38DBA262" w:rsidP="2C46FF40" w:rsidRDefault="38DBA262" w14:paraId="1DEEAAFB" w14:textId="3D149B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38DBA2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Non-functional requirements (NFRs) play a vital role in the success of the Agri-Energy Connect platform. The following non-functional requirements are </w:t>
      </w:r>
      <w:r w:rsidRPr="2C46FF40" w:rsidR="38DBA2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comprised</w:t>
      </w:r>
      <w:r w:rsidRPr="2C46FF40" w:rsidR="38DBA2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of:</w:t>
      </w:r>
      <w:r>
        <w:br/>
      </w:r>
    </w:p>
    <w:p w:rsidR="38DBA262" w:rsidP="2C46FF40" w:rsidRDefault="38DBA262" w14:paraId="3B2365B7" w14:textId="4C3775D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38DBA2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Scalability: 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platform needs to manage higher levels of user traffic and data amount as the user community expands. This can be 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accomplished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by:</w:t>
      </w:r>
      <w:r>
        <w:br/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-Cloud infrastructure that can automatically adjust resources as needed.</w:t>
      </w:r>
      <w:r>
        <w:br/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-Balancing the load to evenly 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spread-out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traffic among several servers.</w:t>
      </w:r>
      <w:r>
        <w:br/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-Techniques for 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optimizing</w:t>
      </w:r>
      <w:r w:rsidRPr="2C46FF40" w:rsidR="38DB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databases and implementing caching.</w:t>
      </w:r>
    </w:p>
    <w:p w:rsidR="3D5F2270" w:rsidP="2C46FF40" w:rsidRDefault="3D5F2270" w14:paraId="1E2ABDEC" w14:textId="403A66E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3D5F22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Security: </w:t>
      </w:r>
      <w:r w:rsidRPr="2C46FF40" w:rsidR="3D5F2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Ensuring the security of private user information and avoiding unauthorized entry is of utmost importance. This can be </w:t>
      </w:r>
      <w:r w:rsidRPr="2C46FF40" w:rsidR="3D5F2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accomplished</w:t>
      </w:r>
      <w:r w:rsidRPr="2C46FF40" w:rsidR="3D5F2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by:</w:t>
      </w:r>
      <w:r>
        <w:br/>
      </w:r>
      <w:r w:rsidRPr="2C46FF40" w:rsidR="3D5F2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-Strong authentication and authorization mechanisms</w:t>
      </w:r>
      <w:r w:rsidRPr="2C46FF40" w:rsidR="5DC30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2C46FF40" w:rsidR="3D5F2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-Powerful encryption methods for data when it is stored and being transferred.</w:t>
      </w:r>
      <w:r>
        <w:br/>
      </w:r>
      <w:r w:rsidRPr="2C46FF40" w:rsidR="3D5F2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-Frequent security evaluations and vulnerability assessments.</w:t>
      </w:r>
    </w:p>
    <w:p w:rsidR="15245910" w:rsidP="2C46FF40" w:rsidRDefault="15245910" w14:paraId="706C1781" w14:textId="6217B946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15245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2C46FF40" w:rsidR="152459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Secure coding practices to minimize vulnerabilities (Troelsen &amp; </w:t>
      </w:r>
      <w:r w:rsidRPr="2C46FF40" w:rsidR="152459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Japikse</w:t>
      </w:r>
      <w:r w:rsidRPr="2C46FF40" w:rsidR="152459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2017)</w:t>
      </w:r>
    </w:p>
    <w:p w:rsidR="2C46FF40" w:rsidP="2C46FF40" w:rsidRDefault="2C46FF40" w14:paraId="20CD69A8" w14:textId="448C006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70F1235" w:rsidP="2C46FF40" w:rsidRDefault="470F1235" w14:paraId="3DCB5A3D" w14:textId="4E32D19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470F1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Usability:</w:t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platform should be easy to use and intuitive for both farmers and employees. This can be </w:t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accomplished</w:t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by:</w:t>
      </w:r>
      <w:r>
        <w:br/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-Concise and clear design of the user interface.</w:t>
      </w:r>
      <w:r>
        <w:br/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-Simple and easy-to-follow navigation for users.</w:t>
      </w:r>
      <w:r>
        <w:br/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2C46FF40" w:rsidR="470F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Conducting user testing to discover and resolve usability problems.</w:t>
      </w:r>
    </w:p>
    <w:p w:rsidR="784D7D8C" w:rsidP="2C46FF40" w:rsidRDefault="784D7D8C" w14:paraId="5BA9A490" w14:textId="31CCB40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784D7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2C46FF40" w:rsidR="784D7D8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Adherence to accessibility standards (WCAG) to ensure the platform is usable by people with disabilities (Troelsen &amp; </w:t>
      </w:r>
      <w:r w:rsidRPr="2C46FF40" w:rsidR="784D7D8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Japikse</w:t>
      </w:r>
      <w:r w:rsidRPr="2C46FF40" w:rsidR="784D7D8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2017)</w:t>
      </w:r>
      <w:r>
        <w:br/>
      </w:r>
    </w:p>
    <w:p w:rsidR="7FB96BB5" w:rsidP="2C46FF40" w:rsidRDefault="7FB96BB5" w14:paraId="30D2084F" w14:textId="7016008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7FB96B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Performance:</w:t>
      </w:r>
      <w:r w:rsidRPr="2C46FF40" w:rsidR="7FB96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platform needs to be prompt in addressing user inquiries and offer a smooth user experience. This can be </w:t>
      </w:r>
      <w:r w:rsidRPr="2C46FF40" w:rsidR="7FB96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accomplished</w:t>
      </w:r>
      <w:r w:rsidRPr="2C46FF40" w:rsidR="7FB96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by:</w:t>
      </w:r>
      <w:r>
        <w:br/>
      </w:r>
      <w:r w:rsidRPr="2C46FF40" w:rsidR="7FB96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-Efficiently executed database inquiries and storage techniques.</w:t>
      </w:r>
      <w:r>
        <w:br/>
      </w:r>
      <w:r w:rsidRPr="2C46FF40" w:rsidR="7FB96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-Reducing data transfer delays on the network.</w:t>
      </w:r>
    </w:p>
    <w:p w:rsidR="7796E3DB" w:rsidP="2C46FF40" w:rsidRDefault="7796E3DB" w14:paraId="39444646" w14:textId="0D310772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7796E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2C46FF40" w:rsidR="7796E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Asynchronous programming techniques to improve responsiveness (Troelsen &amp; </w:t>
      </w:r>
      <w:r w:rsidRPr="2C46FF40" w:rsidR="7796E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Japikse</w:t>
      </w:r>
      <w:r w:rsidRPr="2C46FF40" w:rsidR="7796E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2017)</w:t>
      </w:r>
      <w:r>
        <w:br/>
      </w:r>
      <w:r w:rsidRPr="2C46FF40" w:rsidR="7FB96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-Observing and adjusting performance</w:t>
      </w:r>
      <w:r w:rsidRPr="2C46FF40" w:rsidR="70FFB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0FFB6AD" w:rsidP="2C46FF40" w:rsidRDefault="70FFB6AD" w14:paraId="2FA38203" w14:textId="72E623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US"/>
        </w:rPr>
      </w:pPr>
      <w:r w:rsidRPr="2C46FF40" w:rsidR="70FFB6AD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US"/>
        </w:rPr>
        <w:t>Design and Architecture Patterns</w:t>
      </w:r>
    </w:p>
    <w:p w:rsidR="6F344E13" w:rsidP="2C46FF40" w:rsidRDefault="6F344E13" w14:paraId="0D9FD8ED" w14:textId="25832C9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 and architectural patterns are crucial for constructing sturdy and sustainable software systems. We suggest the following templates for the Agri-Energy Connect platform.</w:t>
      </w:r>
    </w:p>
    <w:p w:rsidR="6F344E13" w:rsidP="2C46FF40" w:rsidRDefault="6F344E13" w14:paraId="3AA32BFC" w14:textId="2CF0DE7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Model-View-</w:t>
      </w:r>
      <w:r w:rsidRPr="2C46FF40" w:rsidR="6F344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Controller(</w:t>
      </w:r>
      <w:r w:rsidRPr="2C46FF40" w:rsidR="6F344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MVC):</w:t>
      </w:r>
    </w:p>
    <w:p w:rsidR="6F344E13" w:rsidP="2C46FF40" w:rsidRDefault="6F344E13" w14:paraId="68C3DA60" w14:textId="651E81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design divides the application's concerns into three separate layers: the model, the view, and the controller. This contributes to the structuring of code, its testability, and ability to be 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maintained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(Troelsen &amp; 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Japikse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2017).</w:t>
      </w:r>
    </w:p>
    <w:p w:rsidR="6F344E13" w:rsidP="2C46FF40" w:rsidRDefault="6F344E13" w14:paraId="624B5C2E" w14:textId="524DFAA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Repository Pattern:</w:t>
      </w:r>
    </w:p>
    <w:p w:rsidR="6F344E13" w:rsidP="2C46FF40" w:rsidRDefault="6F344E13" w14:paraId="1AD95B08" w14:textId="0772F8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design pattern 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consolidates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access logic, enhancing code modularity and testability. It additionally offers a level of separation between the data access layer and the business logic layer (Troelsen &amp; 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Japikse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2017).</w:t>
      </w:r>
    </w:p>
    <w:p w:rsidR="6F344E13" w:rsidP="2C46FF40" w:rsidRDefault="6F344E13" w14:paraId="4F89D5FF" w14:textId="6435CFB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Dependency Injection:</w:t>
      </w:r>
    </w:p>
    <w:p w:rsidR="6F344E13" w:rsidP="2C46FF40" w:rsidRDefault="6F344E13" w14:paraId="39826C0A" w14:textId="0A653E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design encourages a relaxed connection between components, enhancing the flexibility and testability of the code. It enables simple replacement of components with alternative implementations (Troelsen &amp; 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Japikse</w:t>
      </w: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2017).</w:t>
      </w:r>
    </w:p>
    <w:p w:rsidR="6F344E13" w:rsidP="2C46FF40" w:rsidRDefault="6F344E13" w14:paraId="44F1A0F1" w14:textId="0A5D93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Utilizing these patterns allows for the development of a structured, easily maintained, and flexible application.</w:t>
      </w:r>
    </w:p>
    <w:p w:rsidR="6F344E13" w:rsidP="2C46FF40" w:rsidRDefault="6F344E13" w14:paraId="6F6CF1AE" w14:textId="033B50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C46FF40" w:rsidR="6F344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Conclusion:</w:t>
      </w:r>
    </w:p>
    <w:p w:rsidR="55F4696E" w:rsidP="2C46FF40" w:rsidRDefault="55F4696E" w14:paraId="22F0D8E4" w14:textId="126A47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By meeting the essential non-functional needs of scalability, security, usability, and performance, the Agri-Energy Connect platform offers a strong and dependable answer for farmers and energy providers. Utilizing design patterns like MVC, Repository, and Dependency Injection will improve the platform's ability to be 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maintained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tested, and scaled.</w:t>
      </w:r>
      <w:r>
        <w:br/>
      </w:r>
      <w:r>
        <w:br/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According to Troelsen and 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Japikse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(2017), 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properly designed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architecture is essential for the ultimate success of a software project. By following recommended methods and 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utilizing</w:t>
      </w:r>
      <w:r w:rsidRPr="2C46FF40" w:rsidR="55F46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common tools and technologies, we can guarantee that the Agri-Energy Connect platform brings benefits to its users and helps advance a sustainable future.</w:t>
      </w:r>
    </w:p>
    <w:p w:rsidR="76DB6F2C" w:rsidP="2C46FF40" w:rsidRDefault="76DB6F2C" w14:paraId="39886477" w14:textId="5CF38EC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C46FF40" w:rsidR="76DB6F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Visual Aids:</w:t>
      </w:r>
    </w:p>
    <w:p w:rsidR="76DB6F2C" w:rsidP="2C46FF40" w:rsidRDefault="76DB6F2C" w14:paraId="7E915A7E" w14:textId="36A6F09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6DB6F2C">
        <w:drawing>
          <wp:inline wp14:editId="0FD06196" wp14:anchorId="50D2E430">
            <wp:extent cx="5944116" cy="4102964"/>
            <wp:effectExtent l="0" t="0" r="0" b="0"/>
            <wp:docPr id="70679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3d4826a23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4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F976E7">
        <w:rPr/>
        <w:t xml:space="preserve">Diagram showing the flow and structure of an online store. </w:t>
      </w:r>
    </w:p>
    <w:p w:rsidR="76DB6F2C" w:rsidP="2C46FF40" w:rsidRDefault="76DB6F2C" w14:paraId="4EAE80FE" w14:textId="78384C8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6FF40" w:rsidR="76DB6F2C">
        <w:rPr>
          <w:rFonts w:ascii="Times New Roman" w:hAnsi="Times New Roman" w:eastAsia="Times New Roman" w:cs="Times New Roman"/>
          <w:sz w:val="28"/>
          <w:szCs w:val="28"/>
        </w:rPr>
        <w:t xml:space="preserve">Source: </w:t>
      </w:r>
      <w:hyperlink r:id="R710c7a471b8a4a18">
        <w:r w:rsidRPr="2C46FF40" w:rsidR="76DB6F2C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467886"/>
            <w:sz w:val="28"/>
            <w:szCs w:val="28"/>
            <w:u w:val="single"/>
            <w:lang w:val="en-US"/>
          </w:rPr>
          <w:t>https://www.conceptdraw.com/How-To-Guide/online-store-dfd</w:t>
        </w:r>
      </w:hyperlink>
    </w:p>
    <w:p w:rsidR="2C46FF40" w:rsidP="2C46FF40" w:rsidRDefault="2C46FF40" w14:paraId="62CA81B4" w14:textId="48959E05">
      <w:pPr>
        <w:pStyle w:val="Normal"/>
        <w:jc w:val="left"/>
      </w:pPr>
    </w:p>
    <w:p w:rsidR="043CF1AB" w:rsidP="2C46FF40" w:rsidRDefault="043CF1AB" w14:paraId="3DB8213F" w14:textId="536C91BB">
      <w:pPr>
        <w:pStyle w:val="Normal"/>
        <w:jc w:val="left"/>
      </w:pPr>
      <w:r w:rsidR="043CF1AB">
        <w:drawing>
          <wp:inline wp14:editId="3F625E1A" wp14:anchorId="382A5B24">
            <wp:extent cx="5943600" cy="3905250"/>
            <wp:effectExtent l="0" t="0" r="0" b="0"/>
            <wp:docPr id="173893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cb047b1fa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BE5BAE">
        <w:rPr/>
        <w:t xml:space="preserve">Diagram showing the process of how an </w:t>
      </w:r>
      <w:r w:rsidR="68BE5BAE">
        <w:rPr/>
        <w:t>agricultural</w:t>
      </w:r>
      <w:r w:rsidR="68BE5BAE">
        <w:rPr/>
        <w:t xml:space="preserve"> based app works. </w:t>
      </w:r>
    </w:p>
    <w:p w:rsidR="043CF1AB" w:rsidP="2C46FF40" w:rsidRDefault="043CF1AB" w14:paraId="2D627F18" w14:textId="30A9CD8B">
      <w:pPr>
        <w:pStyle w:val="Normal"/>
        <w:jc w:val="left"/>
      </w:pPr>
      <w:r w:rsidRPr="2C46FF40" w:rsidR="043CF1AB">
        <w:rPr>
          <w:rFonts w:ascii="Times New Roman" w:hAnsi="Times New Roman" w:eastAsia="Times New Roman" w:cs="Times New Roman"/>
          <w:sz w:val="28"/>
          <w:szCs w:val="28"/>
        </w:rPr>
        <w:t>Source:</w:t>
      </w:r>
      <w:r w:rsidR="043CF1AB">
        <w:rPr/>
        <w:t xml:space="preserve"> </w:t>
      </w:r>
      <w:hyperlink r:id="Rc382dcdb387644ec">
        <w:r w:rsidRPr="2C46FF40" w:rsidR="043CF1AB">
          <w:rPr>
            <w:rStyle w:val="Hyperlink"/>
          </w:rPr>
          <w:t>https://appinventiv.com/blog/mobile-app-role-in-agriculture/</w:t>
        </w:r>
      </w:hyperlink>
    </w:p>
    <w:p w:rsidR="2C46FF40" w:rsidP="2C46FF40" w:rsidRDefault="2C46FF40" w14:paraId="0667129F" w14:textId="61271BF8">
      <w:pPr>
        <w:pStyle w:val="Normal"/>
        <w:jc w:val="left"/>
      </w:pPr>
    </w:p>
    <w:p w:rsidR="73BC176E" w:rsidP="2C46FF40" w:rsidRDefault="73BC176E" w14:paraId="0DB585FE" w14:textId="6744A5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46FF40" w:rsidR="73BC1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WORDS: 543</w:t>
      </w:r>
    </w:p>
    <w:p w:rsidR="55F4696E" w:rsidP="2C46FF40" w:rsidRDefault="55F4696E" w14:paraId="06D7B238" w14:textId="591295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C46FF40" w:rsidR="55F469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References:</w:t>
      </w:r>
    </w:p>
    <w:p w:rsidR="160CC46A" w:rsidP="2C46FF40" w:rsidRDefault="160CC46A" w14:paraId="48A4CC2D" w14:textId="000501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Humanity’s Promise International. (2023). Donate an Acre of Land. [online]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https://humanityspromise.com/donate-to-humanitys-promise-international/donate-an-acre-of-land/?gad_source=1&amp;gclid=CjwKCAjww_iwBhApEiwAuG6ccIGpY-tY2jViP-vCen5qcjK6CdB0AWAEUdPVwCfWZ0H57mywvNnMBBoCqNEQAvD_BwEEditor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(2023). </w:t>
      </w:r>
    </w:p>
    <w:p w:rsidR="160CC46A" w:rsidP="2C46FF40" w:rsidRDefault="160CC46A" w14:paraId="57A9943F" w14:textId="1B8B1D9A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7D67798F" w14:textId="4E690D41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10 Agricultural techniques for water conservation. [online]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www.green.earth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https://www.green.earth/blog/10-agricultural-techniques-for-water-conservationBioProtection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383636DB" w14:textId="485448B9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32F764F6" w14:textId="1FED5068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Portal. (n.d.). Soil health: why it’s important and how to protectit. [online]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https://bioprotectionportal.com/resources/soil-health-importance-and-how-to-protect/?gad_source=1&amp;gclid=CjwKCAjww_iwBhApEiwAuG6ccDSFeBF83wEVreDCz9u2E8AdY3WVWmx6EPedHD21OrEY_RlaOwhGyBoCqQQQAvD_BwE</w:t>
      </w:r>
    </w:p>
    <w:p w:rsidR="160CC46A" w:rsidP="2C46FF40" w:rsidRDefault="160CC46A" w14:paraId="2605A96F" w14:textId="13263A01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3FB6B987" w14:textId="52B34807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nextbillion.net. (n.d.). Preparing Young Leaders to Solve the World’s Energy Challenges: Insights From Nine Business Case Studies Highlight Paths to a Sustainable Future - NextBillion. [online] Available at:https://nextbillion.net/empowering-young-leaders-energy-challenges-business-case-studies-sustainable-future/?gad_source=1&amp;gclid=CjwKCAjww_iwBhApEiwAuG6ccKua10sqPV8nDeaceOGRn7Ex0kx7LxM-PeRC2lxH1Jmd_BJV_ZvVIBoCbr4QAvD_BwEStackHawk. (n.d.). Web Application Security Checklist: </w:t>
      </w:r>
    </w:p>
    <w:p w:rsidR="160CC46A" w:rsidP="2C46FF40" w:rsidRDefault="160CC46A" w14:paraId="5BE45EAB" w14:textId="742CBD40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69488D58" w14:textId="0E13A7E8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10 Improvements. [online]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https://www.stackhawk.com/blog/web-application-security-checklist-10-improvements.Raheja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</w:p>
    <w:p w:rsidR="160CC46A" w:rsidP="2C46FF40" w:rsidRDefault="160CC46A" w14:paraId="2EFBF9AC" w14:textId="7714D3BF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284052A4" w14:textId="026EC838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S. (2024). How to Optimize Performance in Custom Software Development. [online] Taazaa.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https://www.taazaa.com/performance-optimization/.Webflow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(n.d.). </w:t>
      </w:r>
    </w:p>
    <w:p w:rsidR="160CC46A" w:rsidP="2C46FF40" w:rsidRDefault="160CC46A" w14:paraId="2200AA2A" w14:textId="336882EC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484FBD42" w14:textId="3B61B952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User-centered design: 4 key principles and how to apply them in web design | Webflow Blog. [online]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webflow.com/blog/user-centered-design?utm_source=google&amp;utm_medium=search&amp;utm_campaign=SS-GoogleSearch-Nonbrand-DynamicSearchAds-Core&amp;utm_term=dsa-45211625058___547699967189__&amp;gad_source=1&amp;gclid=CjwKCAjww_iwBhApEiwAuG6ccGmY4VeBdQ35UsXO5EQHFe8dfTAfHiXIXfXUKphQH5syQ76BDtudRRoC1UQQAvD_BwEGeeksforGeeks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(2018). </w:t>
      </w:r>
    </w:p>
    <w:p w:rsidR="160CC46A" w:rsidP="2C46FF40" w:rsidRDefault="160CC46A" w14:paraId="4121FD73" w14:textId="74CA454F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72BFBAB6" w14:textId="7BC44DE4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MVC Design Pattern - GeeksforGeeks. [online] GeeksforGeeks.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https://www.geeksforgeeks.org/mvc-design-pattern/.Sharma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L. (2021). Best practice and Cheat sheet for REST API Design. [online] ByteByteGo System Design Alliance.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https://medium.com/bytebytego-system-design-alliance/best-practice-and-cheat-sheet-for-rest-api-design-6a6e12dfa89fwww.linkedin.com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(n.d.). How can you use the repository pattern to managedata in your web app? [online]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https://www.linkedin.com/advice/0/how-can-you-use-repository-pattern-manage-data-giacc#:~:text=The%20repository%20pattern%20is%20a</w:t>
      </w:r>
    </w:p>
    <w:p w:rsidR="160CC46A" w:rsidP="2C46FF40" w:rsidRDefault="160CC46A" w14:paraId="4A51EBF8" w14:textId="0B9D9950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60CC46A" w:rsidP="2C46FF40" w:rsidRDefault="160CC46A" w14:paraId="02BC1D8B" w14:textId="4402B7B8">
      <w:pPr>
        <w:pStyle w:val="Normal"/>
        <w:jc w:val="left"/>
      </w:pP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Mosyan, D. (2023). Asynchronous event-driven communication. [online] Medium. Available at: 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https://medium.com/@dmosyan/asynchronous-event-driven-communication-34a43d16dea9www.wri.org</w:t>
      </w:r>
      <w:r w:rsidRPr="2C46FF40" w:rsidR="160CC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(2023). African Energy Dialogues: Energising the Future Together | World Resources Institute. [online] Available at:https://www.wri.org/initiatives/african-energy-dialogues?utm_source=google&amp;utm_medium=paid-search-google-grants&amp;utm_campaign=african-energy-dialogues&amp;gad_source=1&amp;gclid=CjwKCAjw5v2wBhBrEiwAXDDoJeRG-XzdF5rAhAA008kQHA6zaGYeicEmOD5f5Z8Gif2HjEQRXUtYURoCg88QAvD_BwE</w:t>
      </w:r>
    </w:p>
    <w:p w:rsidR="2C46FF40" w:rsidP="2C46FF40" w:rsidRDefault="2C46FF40" w14:paraId="278F05FE" w14:textId="4EA39A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C46FF40" w:rsidP="2C46FF40" w:rsidRDefault="2C46FF40" w14:paraId="644B9643" w14:textId="45E3DD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6cb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7c2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4f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faf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02E88"/>
    <w:rsid w:val="0123D3AE"/>
    <w:rsid w:val="01384D73"/>
    <w:rsid w:val="0201EC79"/>
    <w:rsid w:val="043CF1AB"/>
    <w:rsid w:val="0989579C"/>
    <w:rsid w:val="098E4746"/>
    <w:rsid w:val="0D2025C8"/>
    <w:rsid w:val="0E480830"/>
    <w:rsid w:val="137CBAB1"/>
    <w:rsid w:val="15245910"/>
    <w:rsid w:val="15A057C5"/>
    <w:rsid w:val="160CC46A"/>
    <w:rsid w:val="182C5F31"/>
    <w:rsid w:val="1AF976E7"/>
    <w:rsid w:val="1C7D16A3"/>
    <w:rsid w:val="217D5FBB"/>
    <w:rsid w:val="23E32943"/>
    <w:rsid w:val="247091E6"/>
    <w:rsid w:val="24ABC85C"/>
    <w:rsid w:val="29E6FA27"/>
    <w:rsid w:val="2AA4146C"/>
    <w:rsid w:val="2C353A78"/>
    <w:rsid w:val="2C46FF40"/>
    <w:rsid w:val="2CD05E6E"/>
    <w:rsid w:val="2EB60F07"/>
    <w:rsid w:val="324A9D71"/>
    <w:rsid w:val="35BF7EB9"/>
    <w:rsid w:val="36FF57FB"/>
    <w:rsid w:val="38DBA262"/>
    <w:rsid w:val="39C14118"/>
    <w:rsid w:val="3B202E88"/>
    <w:rsid w:val="3D5F2270"/>
    <w:rsid w:val="42F84ADC"/>
    <w:rsid w:val="470F1235"/>
    <w:rsid w:val="4ACB07E0"/>
    <w:rsid w:val="4CC2531F"/>
    <w:rsid w:val="50E370CF"/>
    <w:rsid w:val="51E221AD"/>
    <w:rsid w:val="55F4696E"/>
    <w:rsid w:val="57D90D89"/>
    <w:rsid w:val="5B95A583"/>
    <w:rsid w:val="5DC305A9"/>
    <w:rsid w:val="64BB32A6"/>
    <w:rsid w:val="6507A87B"/>
    <w:rsid w:val="67A823A2"/>
    <w:rsid w:val="68BE5BAE"/>
    <w:rsid w:val="6CAF77E1"/>
    <w:rsid w:val="6F344E13"/>
    <w:rsid w:val="6FBBB32D"/>
    <w:rsid w:val="7092EB9D"/>
    <w:rsid w:val="70FFB6AD"/>
    <w:rsid w:val="73BC176E"/>
    <w:rsid w:val="76D4A0E0"/>
    <w:rsid w:val="76DB6F2C"/>
    <w:rsid w:val="7796E3DB"/>
    <w:rsid w:val="784D7D8C"/>
    <w:rsid w:val="7D0AA6C6"/>
    <w:rsid w:val="7DC5FDEC"/>
    <w:rsid w:val="7E24F69A"/>
    <w:rsid w:val="7FB9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2E88"/>
  <w15:chartTrackingRefBased/>
  <w15:docId w15:val="{979654F4-2E4D-4902-ABD3-BD145DA58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46FF40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8b338949384c01" /><Relationship Type="http://schemas.openxmlformats.org/officeDocument/2006/relationships/image" Target="/media/image2.png" Id="R5023d4826a2344c9" /><Relationship Type="http://schemas.openxmlformats.org/officeDocument/2006/relationships/hyperlink" Target="https://www.conceptdraw.com/How-To-Guide/online-store-dfd" TargetMode="External" Id="R710c7a471b8a4a18" /><Relationship Type="http://schemas.openxmlformats.org/officeDocument/2006/relationships/image" Target="/media/image3.png" Id="R3a0cb047b1fa4087" /><Relationship Type="http://schemas.openxmlformats.org/officeDocument/2006/relationships/hyperlink" Target="https://appinventiv.com/blog/mobile-app-role-in-agriculture/" TargetMode="External" Id="Rc382dcdb387644ec" /><Relationship Type="http://schemas.openxmlformats.org/officeDocument/2006/relationships/numbering" Target="numbering.xml" Id="Ra79a30589e2140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2024-11-21T17:12:18.0490143Z</dcterms:created>
  <dcterms:modified xsi:type="dcterms:W3CDTF">2024-11-21T17:47:41.9934335Z</dcterms:modified>
  <dc:creator>Imaan Ebrahim</dc:creator>
  <lastModifiedBy>Imaan Ebrahim</lastModifiedBy>
</coreProperties>
</file>